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F4" w:rsidRPr="00531B96" w:rsidRDefault="004C3CF4" w:rsidP="004C3CF4">
      <w:pPr>
        <w:pBdr>
          <w:top w:val="nil"/>
          <w:left w:val="nil"/>
          <w:bottom w:val="nil"/>
          <w:right w:val="nil"/>
          <w:between w:val="nil"/>
        </w:pBdr>
        <w:ind w:left="1" w:firstLine="709"/>
        <w:jc w:val="center"/>
        <w:rPr>
          <w:b/>
          <w:sz w:val="28"/>
          <w:szCs w:val="28"/>
        </w:rPr>
      </w:pPr>
      <w:r w:rsidRPr="00531B96">
        <w:rPr>
          <w:b/>
          <w:sz w:val="28"/>
          <w:szCs w:val="28"/>
        </w:rPr>
        <w:t xml:space="preserve">ПОЯСНЮВАЛЬНА ЗАПИСКА </w:t>
      </w:r>
      <w:r w:rsidRPr="00531B96">
        <w:rPr>
          <w:b/>
          <w:sz w:val="28"/>
          <w:szCs w:val="28"/>
        </w:rPr>
        <w:br/>
      </w:r>
      <w:r w:rsidRPr="00531B96">
        <w:rPr>
          <w:sz w:val="28"/>
          <w:szCs w:val="28"/>
        </w:rPr>
        <w:t xml:space="preserve"> </w:t>
      </w:r>
      <w:r w:rsidRPr="00531B96">
        <w:rPr>
          <w:b/>
          <w:sz w:val="28"/>
          <w:szCs w:val="28"/>
        </w:rPr>
        <w:t>до проекту постанови Кабінету Міністрів України ,,Про внесення змін до порядків, затверджених постановами Кабінету Міністрів України             від 24 вересня 2008 р. № 866 і від 8 жовтня 2008 р. № 905”</w:t>
      </w:r>
    </w:p>
    <w:p w:rsidR="004C3CF4" w:rsidRPr="00531B96" w:rsidRDefault="004C3CF4" w:rsidP="004C3CF4">
      <w:pPr>
        <w:pBdr>
          <w:top w:val="nil"/>
          <w:left w:val="nil"/>
          <w:bottom w:val="nil"/>
          <w:right w:val="nil"/>
          <w:between w:val="nil"/>
        </w:pBdr>
        <w:ind w:left="1" w:firstLine="709"/>
        <w:jc w:val="center"/>
        <w:rPr>
          <w:b/>
          <w:sz w:val="28"/>
          <w:szCs w:val="28"/>
        </w:rPr>
      </w:pPr>
    </w:p>
    <w:p w:rsidR="004C3CF4" w:rsidRPr="00531B96" w:rsidRDefault="004C3CF4" w:rsidP="004C3CF4">
      <w:pPr>
        <w:ind w:firstLine="709"/>
        <w:jc w:val="both"/>
        <w:rPr>
          <w:b/>
          <w:sz w:val="28"/>
          <w:szCs w:val="28"/>
        </w:rPr>
      </w:pPr>
      <w:r w:rsidRPr="00531B96">
        <w:rPr>
          <w:b/>
          <w:sz w:val="28"/>
          <w:szCs w:val="28"/>
        </w:rPr>
        <w:t>1. Мета</w:t>
      </w:r>
    </w:p>
    <w:p w:rsidR="004C3CF4" w:rsidRPr="00531B96" w:rsidRDefault="004C3CF4" w:rsidP="004C3CF4">
      <w:pPr>
        <w:ind w:firstLine="709"/>
        <w:jc w:val="both"/>
        <w:rPr>
          <w:sz w:val="28"/>
          <w:szCs w:val="28"/>
        </w:rPr>
      </w:pPr>
      <w:r w:rsidRPr="00531B96">
        <w:rPr>
          <w:sz w:val="28"/>
          <w:szCs w:val="28"/>
        </w:rPr>
        <w:t xml:space="preserve">Метою прийняття </w:t>
      </w:r>
      <w:proofErr w:type="spellStart"/>
      <w:r w:rsidRPr="00531B96">
        <w:rPr>
          <w:sz w:val="28"/>
          <w:szCs w:val="28"/>
        </w:rPr>
        <w:t>акта</w:t>
      </w:r>
      <w:proofErr w:type="spellEnd"/>
      <w:r w:rsidRPr="00531B96">
        <w:rPr>
          <w:sz w:val="28"/>
          <w:szCs w:val="28"/>
        </w:rPr>
        <w:t xml:space="preserve"> є приведення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та Порядку провадження діяльності з усиновлення та здійснення нагляду за дотриманням прав усиновлених дітей, затвердженого постановою Кабінету Міністрів України від 8 жовтня 2008 р. № 905, у відповідність до законодавства, зокрема, в частині обліку дітей, які можуть бути усиновлені, обліку кандидатів в </w:t>
      </w:r>
      <w:proofErr w:type="spellStart"/>
      <w:r w:rsidRPr="00531B96">
        <w:rPr>
          <w:sz w:val="28"/>
          <w:szCs w:val="28"/>
        </w:rPr>
        <w:t>усиновлювачі</w:t>
      </w:r>
      <w:proofErr w:type="spellEnd"/>
      <w:r w:rsidRPr="00531B96">
        <w:rPr>
          <w:sz w:val="28"/>
          <w:szCs w:val="28"/>
        </w:rPr>
        <w:t xml:space="preserve"> та провадження діяльності з усиновлення дітей.</w:t>
      </w:r>
    </w:p>
    <w:p w:rsidR="004C3CF4" w:rsidRPr="00531B96" w:rsidRDefault="004C3CF4" w:rsidP="004C3CF4">
      <w:pPr>
        <w:ind w:firstLine="709"/>
        <w:jc w:val="both"/>
        <w:rPr>
          <w:sz w:val="28"/>
          <w:szCs w:val="28"/>
        </w:rPr>
      </w:pPr>
    </w:p>
    <w:p w:rsidR="004C3CF4" w:rsidRPr="00531B96" w:rsidRDefault="004C3CF4" w:rsidP="004C3CF4">
      <w:pPr>
        <w:ind w:firstLine="709"/>
        <w:jc w:val="both"/>
        <w:rPr>
          <w:b/>
          <w:sz w:val="28"/>
          <w:szCs w:val="28"/>
        </w:rPr>
      </w:pPr>
      <w:r w:rsidRPr="00531B96">
        <w:rPr>
          <w:b/>
          <w:sz w:val="28"/>
          <w:szCs w:val="28"/>
        </w:rPr>
        <w:t xml:space="preserve">2. Обґрунтування необхідності прийняття </w:t>
      </w:r>
      <w:proofErr w:type="spellStart"/>
      <w:r w:rsidRPr="00531B96">
        <w:rPr>
          <w:b/>
          <w:sz w:val="28"/>
          <w:szCs w:val="28"/>
        </w:rPr>
        <w:t>акта</w:t>
      </w:r>
      <w:proofErr w:type="spellEnd"/>
    </w:p>
    <w:p w:rsidR="004C3CF4" w:rsidRPr="00531B96" w:rsidRDefault="004C3CF4" w:rsidP="004C3CF4">
      <w:pPr>
        <w:ind w:firstLine="709"/>
        <w:jc w:val="both"/>
        <w:rPr>
          <w:sz w:val="28"/>
          <w:szCs w:val="28"/>
        </w:rPr>
      </w:pPr>
      <w:r w:rsidRPr="00531B96">
        <w:rPr>
          <w:sz w:val="28"/>
          <w:szCs w:val="28"/>
        </w:rPr>
        <w:t xml:space="preserve">Законом України </w:t>
      </w:r>
      <w:r w:rsidRPr="00615AE9">
        <w:rPr>
          <w:sz w:val="28"/>
          <w:szCs w:val="28"/>
        </w:rPr>
        <w:t>“</w:t>
      </w:r>
      <w:r w:rsidRPr="00531B96">
        <w:rPr>
          <w:sz w:val="28"/>
          <w:szCs w:val="28"/>
        </w:rPr>
        <w:t>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w:t>
      </w:r>
      <w:r w:rsidRPr="00615AE9">
        <w:rPr>
          <w:sz w:val="28"/>
          <w:szCs w:val="28"/>
        </w:rPr>
        <w:t>”</w:t>
      </w:r>
      <w:r w:rsidRPr="00531B96">
        <w:rPr>
          <w:sz w:val="28"/>
          <w:szCs w:val="28"/>
        </w:rPr>
        <w:t xml:space="preserve"> від 20 листопада 2024 р. № 4073-IX (далі – Закон) </w:t>
      </w:r>
      <w:proofErr w:type="spellStart"/>
      <w:r w:rsidRPr="00531B96">
        <w:rPr>
          <w:sz w:val="28"/>
          <w:szCs w:val="28"/>
        </w:rPr>
        <w:t>внесено</w:t>
      </w:r>
      <w:proofErr w:type="spellEnd"/>
      <w:r w:rsidRPr="00531B96">
        <w:rPr>
          <w:sz w:val="28"/>
          <w:szCs w:val="28"/>
        </w:rPr>
        <w:t xml:space="preserve"> зміни до статей 214, 215 Сімейного кодексу України </w:t>
      </w:r>
      <w:r w:rsidRPr="00615AE9">
        <w:rPr>
          <w:sz w:val="28"/>
          <w:szCs w:val="28"/>
        </w:rPr>
        <w:t xml:space="preserve">в частині надання </w:t>
      </w:r>
      <w:r w:rsidRPr="00531B96">
        <w:rPr>
          <w:sz w:val="28"/>
          <w:szCs w:val="28"/>
        </w:rPr>
        <w:t>службам у справах дітей районних у містах Києві та Севастополі державних адміністрацій, міських, районних у містах (у разі їх створення), селищних, сільських рад</w:t>
      </w:r>
      <w:r w:rsidRPr="00615AE9">
        <w:rPr>
          <w:sz w:val="28"/>
          <w:szCs w:val="28"/>
        </w:rPr>
        <w:t xml:space="preserve"> повноважень </w:t>
      </w:r>
      <w:r w:rsidRPr="00531B96">
        <w:rPr>
          <w:sz w:val="28"/>
          <w:szCs w:val="28"/>
        </w:rPr>
        <w:t>щодо виявлення та обліку дітей, які можуть бути усиновлені, осіб, які бажають усиновити дитину. Водночас відповідні повноваження знято зі служб у справах дітей  районних державних адміністрацій.</w:t>
      </w:r>
    </w:p>
    <w:p w:rsidR="004C3CF4" w:rsidRPr="00531B96" w:rsidRDefault="004C3CF4" w:rsidP="004C3CF4">
      <w:pPr>
        <w:ind w:firstLine="709"/>
        <w:jc w:val="both"/>
        <w:rPr>
          <w:sz w:val="28"/>
          <w:szCs w:val="28"/>
        </w:rPr>
      </w:pPr>
      <w:r w:rsidRPr="00531B96">
        <w:rPr>
          <w:sz w:val="28"/>
          <w:szCs w:val="28"/>
        </w:rPr>
        <w:t xml:space="preserve">Для забезпечення реалізації норм Закону щодо провадження діяльності з усиновлення дітей підготовлено проект </w:t>
      </w:r>
      <w:proofErr w:type="spellStart"/>
      <w:r w:rsidRPr="00531B96">
        <w:rPr>
          <w:sz w:val="28"/>
          <w:szCs w:val="28"/>
        </w:rPr>
        <w:t>акта</w:t>
      </w:r>
      <w:proofErr w:type="spellEnd"/>
      <w:r w:rsidRPr="00531B96">
        <w:rPr>
          <w:sz w:val="28"/>
          <w:szCs w:val="28"/>
        </w:rPr>
        <w:t>.</w:t>
      </w:r>
    </w:p>
    <w:p w:rsidR="004C3CF4" w:rsidRPr="00531B96" w:rsidRDefault="004C3CF4" w:rsidP="004C3CF4">
      <w:pPr>
        <w:keepNext/>
        <w:keepLines/>
        <w:ind w:firstLine="709"/>
        <w:jc w:val="both"/>
        <w:rPr>
          <w:sz w:val="28"/>
          <w:szCs w:val="28"/>
        </w:rPr>
      </w:pPr>
      <w:r w:rsidRPr="00531B96">
        <w:rPr>
          <w:sz w:val="28"/>
          <w:szCs w:val="28"/>
        </w:rPr>
        <w:t xml:space="preserve">Проект </w:t>
      </w:r>
      <w:proofErr w:type="spellStart"/>
      <w:r w:rsidRPr="00531B96">
        <w:rPr>
          <w:sz w:val="28"/>
          <w:szCs w:val="28"/>
        </w:rPr>
        <w:t>акта</w:t>
      </w:r>
      <w:proofErr w:type="spellEnd"/>
      <w:r w:rsidRPr="00531B96">
        <w:rPr>
          <w:sz w:val="28"/>
          <w:szCs w:val="28"/>
        </w:rPr>
        <w:t xml:space="preserve"> також спрямовано на забезпечення виконання підпункту 2 пункту 18 Операційного плану заходів на 2024–2026 роки з реалізації Стратегії забезпечення права кожної дитини в Україні на зростання в сімейному оточенні на 2024–2028 роки, затвердженого розпорядженням Кабінету Міністрів України від 26 листопада 2024 р. № 1201-р, в частині врегулювання питання влаштування дитини в сім’ю кандидатів в </w:t>
      </w:r>
      <w:proofErr w:type="spellStart"/>
      <w:r w:rsidRPr="00531B96">
        <w:rPr>
          <w:sz w:val="28"/>
          <w:szCs w:val="28"/>
        </w:rPr>
        <w:t>усиновлювачі</w:t>
      </w:r>
      <w:proofErr w:type="spellEnd"/>
      <w:r w:rsidRPr="00531B96">
        <w:rPr>
          <w:sz w:val="28"/>
          <w:szCs w:val="28"/>
        </w:rPr>
        <w:t xml:space="preserve"> (зокрема шляхом встановлення опіки, піклування над дитиною) до прийняття судом рішення про усиновлення для пришвидшення влаштування дитини в сім’ю. </w:t>
      </w:r>
    </w:p>
    <w:p w:rsidR="004C3CF4" w:rsidRPr="00531B96" w:rsidRDefault="004C3CF4" w:rsidP="004C3CF4">
      <w:pPr>
        <w:keepNext/>
        <w:keepLines/>
        <w:ind w:firstLine="709"/>
        <w:jc w:val="both"/>
        <w:rPr>
          <w:sz w:val="28"/>
          <w:szCs w:val="28"/>
        </w:rPr>
      </w:pPr>
    </w:p>
    <w:p w:rsidR="004C3CF4" w:rsidRPr="00531B96" w:rsidRDefault="004C3CF4" w:rsidP="004C3CF4">
      <w:pPr>
        <w:keepNext/>
        <w:keepLines/>
        <w:ind w:firstLine="709"/>
        <w:jc w:val="both"/>
        <w:rPr>
          <w:b/>
          <w:sz w:val="28"/>
          <w:szCs w:val="28"/>
        </w:rPr>
      </w:pPr>
      <w:r w:rsidRPr="00531B96">
        <w:rPr>
          <w:b/>
          <w:sz w:val="28"/>
          <w:szCs w:val="28"/>
        </w:rPr>
        <w:t xml:space="preserve">3. Основні положення проекту </w:t>
      </w:r>
      <w:proofErr w:type="spellStart"/>
      <w:r w:rsidRPr="00531B96">
        <w:rPr>
          <w:b/>
          <w:sz w:val="28"/>
          <w:szCs w:val="28"/>
        </w:rPr>
        <w:t>акта</w:t>
      </w:r>
      <w:proofErr w:type="spellEnd"/>
    </w:p>
    <w:p w:rsidR="004C3CF4" w:rsidRPr="00531B96" w:rsidRDefault="004C3CF4" w:rsidP="004C3CF4">
      <w:pPr>
        <w:ind w:firstLine="709"/>
        <w:jc w:val="both"/>
        <w:rPr>
          <w:sz w:val="28"/>
          <w:szCs w:val="28"/>
        </w:rPr>
      </w:pPr>
      <w:r w:rsidRPr="00531B96">
        <w:rPr>
          <w:sz w:val="28"/>
          <w:szCs w:val="28"/>
        </w:rPr>
        <w:t xml:space="preserve">Проектом </w:t>
      </w:r>
      <w:proofErr w:type="spellStart"/>
      <w:r w:rsidRPr="00531B96">
        <w:rPr>
          <w:sz w:val="28"/>
          <w:szCs w:val="28"/>
        </w:rPr>
        <w:t>акта</w:t>
      </w:r>
      <w:proofErr w:type="spellEnd"/>
      <w:r w:rsidRPr="00531B96">
        <w:rPr>
          <w:sz w:val="28"/>
          <w:szCs w:val="28"/>
        </w:rPr>
        <w:t xml:space="preserve"> пропонується:</w:t>
      </w:r>
    </w:p>
    <w:p w:rsidR="004C3CF4" w:rsidRPr="00531B96" w:rsidRDefault="004C3CF4" w:rsidP="004C3CF4">
      <w:pPr>
        <w:ind w:firstLine="709"/>
        <w:jc w:val="both"/>
        <w:rPr>
          <w:sz w:val="28"/>
          <w:szCs w:val="28"/>
        </w:rPr>
      </w:pPr>
      <w:r w:rsidRPr="00531B96">
        <w:rPr>
          <w:sz w:val="28"/>
          <w:szCs w:val="28"/>
        </w:rPr>
        <w:t xml:space="preserve">визначити порядок ведення службами у справах дітей районних у містах Києві та Севастополі державних адміністрацій, міських, районних у містах (у разі їх створення), селищних, сільських рад обліку дітей, які можуть бути усиновлені та обліку кандидатів в </w:t>
      </w:r>
      <w:proofErr w:type="spellStart"/>
      <w:r w:rsidRPr="00531B96">
        <w:rPr>
          <w:sz w:val="28"/>
          <w:szCs w:val="28"/>
        </w:rPr>
        <w:t>усиновлювачі</w:t>
      </w:r>
      <w:proofErr w:type="spellEnd"/>
      <w:r w:rsidRPr="00531B96">
        <w:rPr>
          <w:sz w:val="28"/>
          <w:szCs w:val="28"/>
        </w:rPr>
        <w:t>;</w:t>
      </w:r>
    </w:p>
    <w:p w:rsidR="004C3CF4" w:rsidRPr="00531B96" w:rsidRDefault="004C3CF4" w:rsidP="004C3CF4">
      <w:pPr>
        <w:ind w:firstLine="709"/>
        <w:jc w:val="both"/>
        <w:rPr>
          <w:sz w:val="28"/>
          <w:szCs w:val="28"/>
        </w:rPr>
      </w:pPr>
      <w:r w:rsidRPr="00531B96">
        <w:rPr>
          <w:sz w:val="28"/>
          <w:szCs w:val="28"/>
        </w:rPr>
        <w:t>вилучити з переліку суб’єктів провадження діяльності з усиновлення дітей районні державні адміністрації та утворені ними служби у справах дітей;</w:t>
      </w:r>
    </w:p>
    <w:p w:rsidR="004C3CF4" w:rsidRPr="00531B96" w:rsidRDefault="004C3CF4" w:rsidP="004C3CF4">
      <w:pPr>
        <w:ind w:firstLine="709"/>
        <w:jc w:val="both"/>
        <w:rPr>
          <w:sz w:val="28"/>
          <w:szCs w:val="28"/>
        </w:rPr>
      </w:pPr>
      <w:r>
        <w:rPr>
          <w:sz w:val="28"/>
          <w:szCs w:val="28"/>
        </w:rPr>
        <w:lastRenderedPageBreak/>
        <w:t>врегулювати питання передачі</w:t>
      </w:r>
      <w:r w:rsidRPr="00531B96">
        <w:rPr>
          <w:sz w:val="28"/>
          <w:szCs w:val="28"/>
        </w:rPr>
        <w:t xml:space="preserve"> дитини на виховання в сім’ю кандидатів в </w:t>
      </w:r>
      <w:proofErr w:type="spellStart"/>
      <w:r w:rsidRPr="00531B96">
        <w:rPr>
          <w:sz w:val="28"/>
          <w:szCs w:val="28"/>
        </w:rPr>
        <w:t>усиновлювачі</w:t>
      </w:r>
      <w:proofErr w:type="spellEnd"/>
      <w:r w:rsidRPr="00531B96">
        <w:rPr>
          <w:sz w:val="28"/>
          <w:szCs w:val="28"/>
        </w:rPr>
        <w:t xml:space="preserve"> шляхом призначення таких осіб опікунами, піклувальниками  дитини незалежно від місця перебування дитини (в Україні чи за кордоном).</w:t>
      </w:r>
    </w:p>
    <w:p w:rsidR="004C3CF4" w:rsidRPr="00531B96" w:rsidRDefault="004C3CF4" w:rsidP="004C3CF4">
      <w:pPr>
        <w:ind w:firstLine="709"/>
        <w:jc w:val="both"/>
        <w:rPr>
          <w:sz w:val="28"/>
          <w:szCs w:val="28"/>
        </w:rPr>
      </w:pPr>
    </w:p>
    <w:p w:rsidR="004C3CF4" w:rsidRPr="00531B96" w:rsidRDefault="004C3CF4" w:rsidP="004C3CF4">
      <w:pPr>
        <w:ind w:firstLine="709"/>
        <w:jc w:val="both"/>
        <w:rPr>
          <w:b/>
          <w:sz w:val="28"/>
          <w:szCs w:val="28"/>
        </w:rPr>
      </w:pPr>
      <w:r w:rsidRPr="00531B96">
        <w:rPr>
          <w:b/>
          <w:sz w:val="28"/>
          <w:szCs w:val="28"/>
        </w:rPr>
        <w:t>4. Правові аспекти</w:t>
      </w:r>
    </w:p>
    <w:p w:rsidR="004C3CF4" w:rsidRPr="00615AE9" w:rsidRDefault="004C3CF4" w:rsidP="004C3CF4">
      <w:pPr>
        <w:ind w:firstLine="709"/>
        <w:jc w:val="both"/>
      </w:pPr>
      <w:r w:rsidRPr="00531B96">
        <w:rPr>
          <w:sz w:val="28"/>
          <w:szCs w:val="28"/>
        </w:rPr>
        <w:t xml:space="preserve">Нормативно-правовими актами у цій сфері правового регулювання є Сімейний кодекс України, постанови Кабінету Міністрів України                                від 24 вересня 2008 р. № 866 “Питання діяльності органів опіки та піклування, пов’язаної із захистом прав дитини” та від 8 жовтня 2008 р. № 905 </w:t>
      </w:r>
      <w:r w:rsidRPr="00615AE9">
        <w:rPr>
          <w:sz w:val="28"/>
          <w:szCs w:val="28"/>
        </w:rPr>
        <w:t>“</w:t>
      </w:r>
      <w:r w:rsidRPr="00531B96">
        <w:rPr>
          <w:sz w:val="28"/>
          <w:szCs w:val="28"/>
        </w:rPr>
        <w:t xml:space="preserve">Про затвердження Порядку провадження діяльності з усиновлення та здійснення нагляду за дотриманням прав усиновлених дітей”, розпорядження Кабінету Міністрів України від 26 листопада 2024 р. № 1201-р, </w:t>
      </w:r>
      <w:r w:rsidRPr="00615AE9">
        <w:rPr>
          <w:sz w:val="28"/>
          <w:szCs w:val="28"/>
        </w:rPr>
        <w:t>“</w:t>
      </w:r>
      <w:r w:rsidRPr="00531B96">
        <w:rPr>
          <w:sz w:val="28"/>
          <w:szCs w:val="28"/>
        </w:rPr>
        <w:t>Про схвалення Стратегії забезпечення права кожної дитини в Україні на зростання в сімейному оточенні на 2024</w:t>
      </w:r>
      <w:r w:rsidRPr="00615AE9">
        <w:rPr>
          <w:sz w:val="28"/>
          <w:szCs w:val="28"/>
        </w:rPr>
        <w:t>–</w:t>
      </w:r>
      <w:r w:rsidRPr="00531B96">
        <w:rPr>
          <w:sz w:val="28"/>
          <w:szCs w:val="28"/>
        </w:rPr>
        <w:t xml:space="preserve">2028 роки та затвердження операційного плану заходів на </w:t>
      </w:r>
      <w:r>
        <w:rPr>
          <w:sz w:val="28"/>
          <w:szCs w:val="28"/>
        </w:rPr>
        <w:t xml:space="preserve">                      </w:t>
      </w:r>
      <w:r w:rsidRPr="00531B96">
        <w:rPr>
          <w:sz w:val="28"/>
          <w:szCs w:val="28"/>
        </w:rPr>
        <w:t>2024</w:t>
      </w:r>
      <w:r w:rsidRPr="00615AE9">
        <w:rPr>
          <w:sz w:val="28"/>
          <w:szCs w:val="28"/>
        </w:rPr>
        <w:t>–</w:t>
      </w:r>
      <w:r w:rsidRPr="00531B96">
        <w:rPr>
          <w:sz w:val="28"/>
          <w:szCs w:val="28"/>
        </w:rPr>
        <w:t>2026 роки з її реалізації”</w:t>
      </w:r>
      <w:r w:rsidRPr="00531B96">
        <w:t xml:space="preserve">. </w:t>
      </w:r>
    </w:p>
    <w:p w:rsidR="004C3CF4" w:rsidRPr="00531B96" w:rsidRDefault="004C3CF4" w:rsidP="004C3CF4">
      <w:pPr>
        <w:ind w:firstLine="709"/>
        <w:jc w:val="both"/>
      </w:pPr>
    </w:p>
    <w:p w:rsidR="004C3CF4" w:rsidRPr="00531B96" w:rsidRDefault="004C3CF4" w:rsidP="004C3CF4">
      <w:pPr>
        <w:ind w:firstLine="709"/>
        <w:jc w:val="both"/>
        <w:rPr>
          <w:b/>
          <w:sz w:val="28"/>
          <w:szCs w:val="28"/>
        </w:rPr>
      </w:pPr>
      <w:r w:rsidRPr="00531B96">
        <w:rPr>
          <w:b/>
          <w:sz w:val="28"/>
          <w:szCs w:val="28"/>
        </w:rPr>
        <w:t>5. Фінансово-економічне обґрунтування</w:t>
      </w:r>
    </w:p>
    <w:p w:rsidR="004C3CF4" w:rsidRPr="00531B96" w:rsidRDefault="004C3CF4" w:rsidP="004C3CF4">
      <w:pPr>
        <w:ind w:firstLine="709"/>
        <w:jc w:val="both"/>
        <w:rPr>
          <w:sz w:val="28"/>
          <w:szCs w:val="28"/>
        </w:rPr>
      </w:pPr>
      <w:r w:rsidRPr="00531B96">
        <w:rPr>
          <w:sz w:val="28"/>
          <w:szCs w:val="28"/>
        </w:rPr>
        <w:t xml:space="preserve">Реалізація </w:t>
      </w:r>
      <w:proofErr w:type="spellStart"/>
      <w:r w:rsidRPr="00531B96">
        <w:rPr>
          <w:sz w:val="28"/>
          <w:szCs w:val="28"/>
        </w:rPr>
        <w:t>акта</w:t>
      </w:r>
      <w:proofErr w:type="spellEnd"/>
      <w:r w:rsidRPr="00531B96">
        <w:rPr>
          <w:sz w:val="28"/>
          <w:szCs w:val="28"/>
        </w:rPr>
        <w:t xml:space="preserve"> здійснюватиметься в межах </w:t>
      </w:r>
      <w:proofErr w:type="spellStart"/>
      <w:r w:rsidRPr="00531B96">
        <w:rPr>
          <w:sz w:val="28"/>
          <w:szCs w:val="28"/>
        </w:rPr>
        <w:t>видактів</w:t>
      </w:r>
      <w:proofErr w:type="spellEnd"/>
      <w:r w:rsidRPr="00531B96">
        <w:rPr>
          <w:sz w:val="28"/>
          <w:szCs w:val="28"/>
        </w:rPr>
        <w:t>, передбачених у державному бюджетні, за бюджетною програмою за КПКВК 2501400 ,,Соціальний захист дітей та сім’ї</w:t>
      </w:r>
      <w:r w:rsidRPr="00615AE9">
        <w:rPr>
          <w:sz w:val="28"/>
          <w:szCs w:val="28"/>
        </w:rPr>
        <w:t>”</w:t>
      </w:r>
      <w:r w:rsidRPr="00531B96">
        <w:rPr>
          <w:sz w:val="28"/>
          <w:szCs w:val="28"/>
        </w:rPr>
        <w:t>.</w:t>
      </w:r>
    </w:p>
    <w:p w:rsidR="004C3CF4" w:rsidRPr="00531B96" w:rsidRDefault="004C3CF4" w:rsidP="004C3CF4">
      <w:pPr>
        <w:ind w:firstLine="709"/>
        <w:jc w:val="both"/>
        <w:rPr>
          <w:sz w:val="28"/>
          <w:szCs w:val="28"/>
        </w:rPr>
      </w:pPr>
      <w:r w:rsidRPr="00531B96">
        <w:rPr>
          <w:sz w:val="28"/>
          <w:szCs w:val="28"/>
        </w:rPr>
        <w:t>Фінансово-економічні розрахунки додаються.</w:t>
      </w:r>
    </w:p>
    <w:p w:rsidR="004C3CF4" w:rsidRPr="00531B96" w:rsidRDefault="004C3CF4" w:rsidP="004C3CF4">
      <w:pPr>
        <w:ind w:firstLine="709"/>
        <w:jc w:val="both"/>
        <w:rPr>
          <w:sz w:val="28"/>
          <w:szCs w:val="28"/>
        </w:rPr>
      </w:pPr>
    </w:p>
    <w:p w:rsidR="004C3CF4" w:rsidRPr="00531B96" w:rsidRDefault="004C3CF4" w:rsidP="004C3CF4">
      <w:pPr>
        <w:ind w:firstLine="709"/>
        <w:jc w:val="both"/>
        <w:rPr>
          <w:b/>
          <w:sz w:val="28"/>
          <w:szCs w:val="28"/>
        </w:rPr>
      </w:pPr>
      <w:r w:rsidRPr="00531B96">
        <w:rPr>
          <w:b/>
          <w:sz w:val="28"/>
          <w:szCs w:val="28"/>
        </w:rPr>
        <w:t>6. Позиція заінтересованих сторін</w:t>
      </w:r>
    </w:p>
    <w:p w:rsidR="004C3CF4" w:rsidRPr="00531B96" w:rsidRDefault="004C3CF4" w:rsidP="004C3CF4">
      <w:pPr>
        <w:ind w:firstLine="709"/>
        <w:jc w:val="both"/>
        <w:rPr>
          <w:sz w:val="28"/>
          <w:szCs w:val="28"/>
        </w:rPr>
      </w:pPr>
      <w:r w:rsidRPr="00531B96">
        <w:rPr>
          <w:sz w:val="28"/>
          <w:szCs w:val="28"/>
        </w:rPr>
        <w:t xml:space="preserve">Проект </w:t>
      </w:r>
      <w:proofErr w:type="spellStart"/>
      <w:r w:rsidRPr="00531B96">
        <w:rPr>
          <w:sz w:val="28"/>
          <w:szCs w:val="28"/>
        </w:rPr>
        <w:t>акта</w:t>
      </w:r>
      <w:proofErr w:type="spellEnd"/>
      <w:r w:rsidRPr="00531B96">
        <w:rPr>
          <w:sz w:val="28"/>
          <w:szCs w:val="28"/>
        </w:rPr>
        <w:t xml:space="preserve"> потребує погодження Міністерством фінансів, Міністерством економіки, Міністерством цифрової трансформації України, Міністерством розвитку громад та територій України, Державною службою у справах дітей, Національною соціальною сервісною службою, Уповноваженим Верховної Ради України з прав людини.</w:t>
      </w:r>
    </w:p>
    <w:p w:rsidR="004C3CF4" w:rsidRPr="00531B96" w:rsidRDefault="004C3CF4" w:rsidP="004C3CF4">
      <w:pPr>
        <w:ind w:firstLine="709"/>
        <w:jc w:val="both"/>
        <w:rPr>
          <w:sz w:val="28"/>
          <w:szCs w:val="28"/>
        </w:rPr>
      </w:pPr>
      <w:r w:rsidRPr="00531B96">
        <w:rPr>
          <w:sz w:val="28"/>
          <w:szCs w:val="28"/>
        </w:rPr>
        <w:t xml:space="preserve">Проект </w:t>
      </w:r>
      <w:proofErr w:type="spellStart"/>
      <w:r w:rsidRPr="00531B96">
        <w:rPr>
          <w:sz w:val="28"/>
          <w:szCs w:val="28"/>
        </w:rPr>
        <w:t>акта</w:t>
      </w:r>
      <w:proofErr w:type="spellEnd"/>
      <w:r w:rsidRPr="00531B96">
        <w:rPr>
          <w:sz w:val="28"/>
          <w:szCs w:val="28"/>
        </w:rPr>
        <w:t xml:space="preserve"> потребує проведення правової експертизи Міністерством юстиції України та визначення необхідності проведення антикорупційної експертизи Національним агентством з питань запобігання корупції.</w:t>
      </w:r>
    </w:p>
    <w:p w:rsidR="004C3CF4" w:rsidRPr="00531B96" w:rsidRDefault="004C3CF4" w:rsidP="004C3CF4">
      <w:pPr>
        <w:ind w:firstLine="709"/>
        <w:jc w:val="both"/>
        <w:rPr>
          <w:sz w:val="28"/>
          <w:szCs w:val="28"/>
        </w:rPr>
      </w:pPr>
      <w:r w:rsidRPr="00531B96">
        <w:rPr>
          <w:sz w:val="28"/>
          <w:szCs w:val="28"/>
        </w:rPr>
        <w:t xml:space="preserve">Проект </w:t>
      </w:r>
      <w:proofErr w:type="spellStart"/>
      <w:r w:rsidRPr="00531B96">
        <w:rPr>
          <w:sz w:val="28"/>
          <w:szCs w:val="28"/>
        </w:rPr>
        <w:t>акта</w:t>
      </w:r>
      <w:proofErr w:type="spellEnd"/>
      <w:r w:rsidRPr="00531B96">
        <w:rPr>
          <w:sz w:val="28"/>
          <w:szCs w:val="28"/>
        </w:rPr>
        <w:t xml:space="preserve"> стосується питань функціонування місцевого самоврядування, прав та інтересів територіальних громад, місцевого та регіонального розвитку та потребує погодження обласними, Київською міською військовими адміністраціями та Всеукраїнською асоціацією органів місцевого самоврядування “Асоціація міст України”.</w:t>
      </w:r>
    </w:p>
    <w:p w:rsidR="004C3CF4" w:rsidRPr="00531B96" w:rsidRDefault="004C3CF4" w:rsidP="004C3CF4">
      <w:pPr>
        <w:ind w:firstLine="709"/>
        <w:jc w:val="both"/>
        <w:rPr>
          <w:sz w:val="28"/>
          <w:szCs w:val="28"/>
        </w:rPr>
      </w:pPr>
      <w:r w:rsidRPr="00531B96">
        <w:rPr>
          <w:sz w:val="28"/>
          <w:szCs w:val="28"/>
        </w:rPr>
        <w:t xml:space="preserve">Проект </w:t>
      </w:r>
      <w:proofErr w:type="spellStart"/>
      <w:r w:rsidRPr="00531B96">
        <w:rPr>
          <w:sz w:val="28"/>
          <w:szCs w:val="28"/>
        </w:rPr>
        <w:t>акта</w:t>
      </w:r>
      <w:proofErr w:type="spellEnd"/>
      <w:r w:rsidRPr="00531B96">
        <w:rPr>
          <w:sz w:val="28"/>
          <w:szCs w:val="28"/>
        </w:rPr>
        <w:t xml:space="preserve"> не потребує проведення публічних консультацій.</w:t>
      </w:r>
    </w:p>
    <w:p w:rsidR="004C3CF4" w:rsidRPr="00531B96" w:rsidRDefault="004C3CF4" w:rsidP="004C3CF4">
      <w:pPr>
        <w:ind w:firstLine="709"/>
        <w:jc w:val="both"/>
        <w:rPr>
          <w:color w:val="000000"/>
          <w:sz w:val="28"/>
          <w:szCs w:val="28"/>
        </w:rPr>
      </w:pPr>
      <w:r w:rsidRPr="00531B96">
        <w:rPr>
          <w:sz w:val="28"/>
          <w:szCs w:val="28"/>
        </w:rPr>
        <w:t xml:space="preserve">Проект </w:t>
      </w:r>
      <w:proofErr w:type="spellStart"/>
      <w:r w:rsidRPr="00531B96">
        <w:rPr>
          <w:sz w:val="28"/>
          <w:szCs w:val="28"/>
        </w:rPr>
        <w:t>акта</w:t>
      </w:r>
      <w:proofErr w:type="spellEnd"/>
      <w:r w:rsidRPr="00531B96">
        <w:rPr>
          <w:sz w:val="28"/>
          <w:szCs w:val="28"/>
        </w:rPr>
        <w:t xml:space="preserve"> не стосується прав осіб з інвалідністю, соціально-трудової сфери, </w:t>
      </w:r>
      <w:r w:rsidRPr="00531B96">
        <w:rPr>
          <w:color w:val="000000"/>
          <w:sz w:val="28"/>
          <w:szCs w:val="28"/>
        </w:rPr>
        <w:t xml:space="preserve">сфери наукової та науково-технічної діяльності, </w:t>
      </w:r>
      <w:r w:rsidRPr="00531B96">
        <w:rPr>
          <w:sz w:val="28"/>
          <w:szCs w:val="28"/>
        </w:rPr>
        <w:t xml:space="preserve">функціонування і застосування української мови </w:t>
      </w:r>
      <w:r>
        <w:rPr>
          <w:color w:val="000000"/>
          <w:sz w:val="28"/>
          <w:szCs w:val="28"/>
        </w:rPr>
        <w:t>як державної та</w:t>
      </w:r>
      <w:r w:rsidRPr="00531B96">
        <w:rPr>
          <w:sz w:val="28"/>
          <w:szCs w:val="28"/>
        </w:rPr>
        <w:t xml:space="preserve"> не потребує погодження Урядовим уповноваженим з прав осіб з інвалідністю та всеукраїнськими громадськими організаціями осіб з інвалідністю, їх</w:t>
      </w:r>
      <w:r>
        <w:rPr>
          <w:sz w:val="28"/>
          <w:szCs w:val="28"/>
        </w:rPr>
        <w:t>німи</w:t>
      </w:r>
      <w:r w:rsidRPr="00531B96">
        <w:rPr>
          <w:sz w:val="28"/>
          <w:szCs w:val="28"/>
        </w:rPr>
        <w:t xml:space="preserve"> спілками, </w:t>
      </w:r>
      <w:r w:rsidRPr="00531B96">
        <w:rPr>
          <w:color w:val="000000"/>
          <w:sz w:val="28"/>
          <w:szCs w:val="28"/>
        </w:rPr>
        <w:t>уповноваженими представниками всеукраїнських профспілок, їхніх об’єднань і всеукраїнських об’єднань організацій роботодавців, Науковим комітетом Національної ради України з питань розвитку науки і технологій, Уповноваженим із захисту державної мови.</w:t>
      </w:r>
    </w:p>
    <w:p w:rsidR="004C3CF4" w:rsidRPr="00531B96" w:rsidRDefault="004C3CF4" w:rsidP="004C3CF4">
      <w:pPr>
        <w:ind w:firstLine="709"/>
        <w:jc w:val="both"/>
        <w:rPr>
          <w:sz w:val="28"/>
          <w:szCs w:val="28"/>
        </w:rPr>
      </w:pPr>
    </w:p>
    <w:p w:rsidR="004C3CF4" w:rsidRPr="00531B96" w:rsidRDefault="004C3CF4" w:rsidP="004C3CF4">
      <w:pPr>
        <w:ind w:firstLine="709"/>
        <w:jc w:val="both"/>
        <w:rPr>
          <w:b/>
          <w:sz w:val="28"/>
          <w:szCs w:val="28"/>
        </w:rPr>
      </w:pPr>
      <w:r w:rsidRPr="00531B96">
        <w:rPr>
          <w:b/>
          <w:sz w:val="28"/>
          <w:szCs w:val="28"/>
        </w:rPr>
        <w:lastRenderedPageBreak/>
        <w:t>7. Оцінка відповідності</w:t>
      </w:r>
    </w:p>
    <w:p w:rsidR="004C3CF4" w:rsidRPr="00531B96" w:rsidRDefault="004C3CF4" w:rsidP="004C3CF4">
      <w:pPr>
        <w:ind w:firstLine="709"/>
        <w:jc w:val="both"/>
        <w:rPr>
          <w:sz w:val="28"/>
          <w:szCs w:val="28"/>
        </w:rPr>
      </w:pPr>
      <w:r w:rsidRPr="00531B96">
        <w:rPr>
          <w:sz w:val="28"/>
          <w:szCs w:val="28"/>
        </w:rPr>
        <w:t xml:space="preserve">У проекті </w:t>
      </w:r>
      <w:proofErr w:type="spellStart"/>
      <w:r w:rsidRPr="00531B96">
        <w:rPr>
          <w:sz w:val="28"/>
          <w:szCs w:val="28"/>
        </w:rPr>
        <w:t>акта</w:t>
      </w:r>
      <w:proofErr w:type="spellEnd"/>
      <w:r w:rsidRPr="00531B96">
        <w:rPr>
          <w:sz w:val="28"/>
          <w:szCs w:val="28"/>
        </w:rPr>
        <w:t xml:space="preserve"> відсутні положення, що стосуються зобов’язань України у сфері європейської інтеграції, прав і свобод, гарантованих Конвенцією про захист прав людини і основоположних свобод, порушують принцип забезпечення рівних прав та можливостей жінок і чоловіків, створюють підстави для дискримінації, містять ризики вчинення корупційних правопорушень і правопорушень, пов’язаних із корупцією.</w:t>
      </w:r>
    </w:p>
    <w:p w:rsidR="004C3CF4" w:rsidRPr="00531B96" w:rsidRDefault="004C3CF4" w:rsidP="004C3CF4">
      <w:pPr>
        <w:ind w:firstLine="709"/>
        <w:jc w:val="both"/>
        <w:rPr>
          <w:sz w:val="28"/>
          <w:szCs w:val="28"/>
        </w:rPr>
      </w:pPr>
    </w:p>
    <w:p w:rsidR="004C3CF4" w:rsidRPr="00531B96" w:rsidRDefault="004C3CF4" w:rsidP="004C3CF4">
      <w:pPr>
        <w:ind w:firstLine="709"/>
        <w:jc w:val="both"/>
        <w:rPr>
          <w:b/>
          <w:sz w:val="28"/>
          <w:szCs w:val="28"/>
        </w:rPr>
      </w:pPr>
      <w:r w:rsidRPr="00531B96">
        <w:rPr>
          <w:b/>
          <w:sz w:val="28"/>
          <w:szCs w:val="28"/>
        </w:rPr>
        <w:t>8. Прогноз результатів</w:t>
      </w:r>
    </w:p>
    <w:p w:rsidR="004C3CF4" w:rsidRPr="00531B96" w:rsidRDefault="004C3CF4" w:rsidP="004C3CF4">
      <w:pPr>
        <w:ind w:firstLine="709"/>
        <w:jc w:val="both"/>
        <w:rPr>
          <w:sz w:val="28"/>
          <w:szCs w:val="28"/>
        </w:rPr>
      </w:pPr>
      <w:r w:rsidRPr="00531B96">
        <w:rPr>
          <w:sz w:val="28"/>
          <w:szCs w:val="28"/>
        </w:rPr>
        <w:t xml:space="preserve">Реалізація </w:t>
      </w:r>
      <w:proofErr w:type="spellStart"/>
      <w:r w:rsidRPr="00531B96">
        <w:rPr>
          <w:sz w:val="28"/>
          <w:szCs w:val="28"/>
        </w:rPr>
        <w:t>акта</w:t>
      </w:r>
      <w:proofErr w:type="spellEnd"/>
      <w:r w:rsidRPr="00531B96">
        <w:rPr>
          <w:sz w:val="28"/>
          <w:szCs w:val="28"/>
        </w:rPr>
        <w:t xml:space="preserve"> матиме вплив на інтереси дітей, які можуть бути усиновлені. </w:t>
      </w:r>
    </w:p>
    <w:p w:rsidR="004C3CF4" w:rsidRPr="00531B96" w:rsidRDefault="004C3CF4" w:rsidP="004C3CF4">
      <w:pPr>
        <w:ind w:firstLine="709"/>
        <w:jc w:val="both"/>
        <w:rPr>
          <w:sz w:val="28"/>
          <w:szCs w:val="28"/>
        </w:rPr>
      </w:pP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3343"/>
        <w:gridCol w:w="3172"/>
        <w:gridCol w:w="3122"/>
      </w:tblGrid>
      <w:tr w:rsidR="004C3CF4" w:rsidRPr="00531B96" w:rsidTr="0079656C">
        <w:trPr>
          <w:trHeight w:val="1018"/>
        </w:trPr>
        <w:tc>
          <w:tcPr>
            <w:tcW w:w="3343" w:type="dxa"/>
            <w:tcBorders>
              <w:top w:val="single" w:sz="5" w:space="0" w:color="000000"/>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rsidR="004C3CF4" w:rsidRPr="00531B96" w:rsidRDefault="004C3CF4" w:rsidP="0079656C">
            <w:pPr>
              <w:jc w:val="center"/>
              <w:rPr>
                <w:sz w:val="28"/>
                <w:szCs w:val="28"/>
              </w:rPr>
            </w:pPr>
            <w:r w:rsidRPr="00531B96">
              <w:rPr>
                <w:sz w:val="28"/>
                <w:szCs w:val="28"/>
              </w:rPr>
              <w:t>Заінтересована сторона</w:t>
            </w:r>
          </w:p>
        </w:tc>
        <w:tc>
          <w:tcPr>
            <w:tcW w:w="3172" w:type="dxa"/>
            <w:tcBorders>
              <w:top w:val="single" w:sz="5" w:space="0" w:color="000000"/>
              <w:left w:val="nil"/>
              <w:bottom w:val="single" w:sz="5" w:space="0" w:color="000000"/>
              <w:right w:val="single" w:sz="5" w:space="0" w:color="000000"/>
            </w:tcBorders>
            <w:shd w:val="clear" w:color="auto" w:fill="FFFFFF"/>
            <w:tcMar>
              <w:top w:w="100" w:type="dxa"/>
              <w:left w:w="100" w:type="dxa"/>
              <w:bottom w:w="100" w:type="dxa"/>
              <w:right w:w="100" w:type="dxa"/>
            </w:tcMar>
          </w:tcPr>
          <w:p w:rsidR="004C3CF4" w:rsidRPr="00531B96" w:rsidRDefault="004C3CF4" w:rsidP="0079656C">
            <w:pPr>
              <w:jc w:val="center"/>
              <w:rPr>
                <w:sz w:val="28"/>
                <w:szCs w:val="28"/>
              </w:rPr>
            </w:pPr>
            <w:r w:rsidRPr="00531B96">
              <w:rPr>
                <w:sz w:val="28"/>
                <w:szCs w:val="28"/>
              </w:rPr>
              <w:t xml:space="preserve">Вплив реалізації </w:t>
            </w:r>
            <w:proofErr w:type="spellStart"/>
            <w:r w:rsidRPr="00531B96">
              <w:rPr>
                <w:sz w:val="28"/>
                <w:szCs w:val="28"/>
              </w:rPr>
              <w:t>акта</w:t>
            </w:r>
            <w:proofErr w:type="spellEnd"/>
            <w:r w:rsidRPr="00531B96">
              <w:rPr>
                <w:sz w:val="28"/>
                <w:szCs w:val="28"/>
              </w:rPr>
              <w:t xml:space="preserve"> на заінтересовану сторону</w:t>
            </w:r>
          </w:p>
        </w:tc>
        <w:tc>
          <w:tcPr>
            <w:tcW w:w="3122" w:type="dxa"/>
            <w:tcBorders>
              <w:top w:val="single" w:sz="5" w:space="0" w:color="000000"/>
              <w:left w:val="nil"/>
              <w:bottom w:val="single" w:sz="5" w:space="0" w:color="000000"/>
              <w:right w:val="single" w:sz="5" w:space="0" w:color="000000"/>
            </w:tcBorders>
            <w:shd w:val="clear" w:color="auto" w:fill="FFFFFF"/>
            <w:tcMar>
              <w:top w:w="100" w:type="dxa"/>
              <w:left w:w="100" w:type="dxa"/>
              <w:bottom w:w="100" w:type="dxa"/>
              <w:right w:w="100" w:type="dxa"/>
            </w:tcMar>
          </w:tcPr>
          <w:p w:rsidR="004C3CF4" w:rsidRPr="00531B96" w:rsidRDefault="004C3CF4" w:rsidP="0079656C">
            <w:pPr>
              <w:jc w:val="center"/>
              <w:rPr>
                <w:sz w:val="28"/>
                <w:szCs w:val="28"/>
              </w:rPr>
            </w:pPr>
            <w:r w:rsidRPr="00531B96">
              <w:rPr>
                <w:sz w:val="28"/>
                <w:szCs w:val="28"/>
              </w:rPr>
              <w:t>Пояснення очікуваного впливу</w:t>
            </w:r>
          </w:p>
        </w:tc>
      </w:tr>
      <w:tr w:rsidR="004C3CF4" w:rsidRPr="00531B96" w:rsidTr="0079656C">
        <w:trPr>
          <w:trHeight w:val="1275"/>
        </w:trPr>
        <w:tc>
          <w:tcPr>
            <w:tcW w:w="3343"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rsidR="004C3CF4" w:rsidRPr="00531B96" w:rsidRDefault="004C3CF4" w:rsidP="0079656C">
            <w:pPr>
              <w:ind w:right="120"/>
              <w:jc w:val="both"/>
              <w:rPr>
                <w:sz w:val="28"/>
                <w:szCs w:val="28"/>
              </w:rPr>
            </w:pPr>
            <w:r w:rsidRPr="00531B96">
              <w:rPr>
                <w:sz w:val="28"/>
                <w:szCs w:val="28"/>
              </w:rPr>
              <w:t>Діти, які можуть бути усиновлені, у тому числі діти, які тимчасово переміщені (евакуйовані) в межах України чи за кордон</w:t>
            </w:r>
          </w:p>
        </w:tc>
        <w:tc>
          <w:tcPr>
            <w:tcW w:w="3172"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4C3CF4" w:rsidRPr="00531B96" w:rsidRDefault="004C3CF4" w:rsidP="0079656C">
            <w:pPr>
              <w:ind w:firstLine="709"/>
              <w:jc w:val="both"/>
              <w:rPr>
                <w:sz w:val="28"/>
                <w:szCs w:val="28"/>
              </w:rPr>
            </w:pPr>
            <w:r w:rsidRPr="00531B96">
              <w:rPr>
                <w:sz w:val="28"/>
                <w:szCs w:val="28"/>
              </w:rPr>
              <w:t>Позитивний</w:t>
            </w:r>
          </w:p>
        </w:tc>
        <w:tc>
          <w:tcPr>
            <w:tcW w:w="3122"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4C3CF4" w:rsidRPr="00531B96" w:rsidRDefault="004C3CF4" w:rsidP="0079656C">
            <w:pPr>
              <w:jc w:val="both"/>
              <w:rPr>
                <w:sz w:val="28"/>
                <w:szCs w:val="28"/>
              </w:rPr>
            </w:pPr>
            <w:r w:rsidRPr="00531B96">
              <w:rPr>
                <w:sz w:val="28"/>
                <w:szCs w:val="28"/>
              </w:rPr>
              <w:t>Забезпечено захист прав та інтересів дітей, зокрема права на сімейне виховання</w:t>
            </w:r>
          </w:p>
        </w:tc>
      </w:tr>
    </w:tbl>
    <w:p w:rsidR="004C3CF4" w:rsidRPr="00531B96" w:rsidRDefault="004C3CF4" w:rsidP="004C3CF4">
      <w:pPr>
        <w:pStyle w:val="a3"/>
        <w:spacing w:before="0" w:beforeAutospacing="0" w:after="0" w:afterAutospacing="0"/>
        <w:ind w:firstLine="709"/>
        <w:jc w:val="both"/>
        <w:rPr>
          <w:sz w:val="28"/>
          <w:szCs w:val="28"/>
        </w:rPr>
      </w:pPr>
    </w:p>
    <w:p w:rsidR="004C3CF4" w:rsidRPr="00531B96" w:rsidRDefault="004C3CF4" w:rsidP="004C3CF4">
      <w:pPr>
        <w:pStyle w:val="a3"/>
        <w:spacing w:before="0" w:beforeAutospacing="0" w:after="0" w:afterAutospacing="0"/>
        <w:ind w:firstLine="709"/>
        <w:jc w:val="both"/>
      </w:pPr>
      <w:r w:rsidRPr="00531B96">
        <w:rPr>
          <w:sz w:val="28"/>
          <w:szCs w:val="28"/>
        </w:rPr>
        <w:t> </w:t>
      </w:r>
    </w:p>
    <w:p w:rsidR="004C3CF4" w:rsidRPr="00531B96" w:rsidRDefault="004C3CF4" w:rsidP="004C3CF4">
      <w:pPr>
        <w:pStyle w:val="a3"/>
        <w:spacing w:before="0" w:beforeAutospacing="0" w:after="0" w:afterAutospacing="0"/>
        <w:jc w:val="both"/>
      </w:pPr>
      <w:r w:rsidRPr="00531B96">
        <w:rPr>
          <w:b/>
          <w:bCs/>
          <w:sz w:val="28"/>
          <w:szCs w:val="28"/>
        </w:rPr>
        <w:t xml:space="preserve">Міністр соціальної політики України         </w:t>
      </w:r>
      <w:r w:rsidRPr="00531B96">
        <w:rPr>
          <w:rStyle w:val="apple-tab-span"/>
          <w:b/>
          <w:bCs/>
          <w:sz w:val="28"/>
          <w:szCs w:val="28"/>
        </w:rPr>
        <w:tab/>
      </w:r>
      <w:r w:rsidRPr="00531B96">
        <w:rPr>
          <w:b/>
          <w:bCs/>
          <w:sz w:val="28"/>
          <w:szCs w:val="28"/>
        </w:rPr>
        <w:t xml:space="preserve">     </w:t>
      </w:r>
      <w:r w:rsidRPr="00531B96">
        <w:rPr>
          <w:rStyle w:val="apple-tab-span"/>
          <w:b/>
          <w:bCs/>
          <w:sz w:val="28"/>
          <w:szCs w:val="28"/>
        </w:rPr>
        <w:tab/>
      </w:r>
      <w:r w:rsidRPr="00531B96">
        <w:rPr>
          <w:b/>
          <w:bCs/>
          <w:sz w:val="28"/>
          <w:szCs w:val="28"/>
        </w:rPr>
        <w:t xml:space="preserve">   Оксана ЖОЛНОВИЧ</w:t>
      </w:r>
    </w:p>
    <w:p w:rsidR="00E23A36" w:rsidRDefault="004C3CF4" w:rsidP="004C3CF4">
      <w:pPr>
        <w:pStyle w:val="a3"/>
        <w:spacing w:before="0" w:beforeAutospacing="0" w:after="0" w:afterAutospacing="0"/>
      </w:pPr>
      <w:r w:rsidRPr="00531B96">
        <w:rPr>
          <w:sz w:val="28"/>
          <w:szCs w:val="28"/>
        </w:rPr>
        <w:t>___ ____________ 2025 р.</w:t>
      </w:r>
      <w:bookmarkStart w:id="0" w:name="_GoBack"/>
      <w:bookmarkEnd w:id="0"/>
    </w:p>
    <w:sectPr w:rsidR="00E23A36">
      <w:headerReference w:type="first" r:id="rI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661" w:rsidRDefault="004C3C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F4"/>
    <w:rsid w:val="004C3CF4"/>
    <w:rsid w:val="00E23A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F5FBD-BF9D-448E-98E9-E5995C09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CF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3CF4"/>
    <w:pPr>
      <w:spacing w:before="100" w:beforeAutospacing="1" w:after="100" w:afterAutospacing="1"/>
    </w:pPr>
  </w:style>
  <w:style w:type="paragraph" w:styleId="a4">
    <w:name w:val="header"/>
    <w:basedOn w:val="a"/>
    <w:link w:val="a5"/>
    <w:uiPriority w:val="99"/>
    <w:unhideWhenUsed/>
    <w:rsid w:val="004C3CF4"/>
    <w:pPr>
      <w:tabs>
        <w:tab w:val="center" w:pos="4819"/>
        <w:tab w:val="right" w:pos="9639"/>
      </w:tabs>
    </w:pPr>
  </w:style>
  <w:style w:type="character" w:customStyle="1" w:styleId="a5">
    <w:name w:val="Верхній колонтитул Знак"/>
    <w:basedOn w:val="a0"/>
    <w:link w:val="a4"/>
    <w:uiPriority w:val="99"/>
    <w:rsid w:val="004C3CF4"/>
    <w:rPr>
      <w:rFonts w:ascii="Times New Roman" w:eastAsia="Times New Roman" w:hAnsi="Times New Roman" w:cs="Times New Roman"/>
      <w:sz w:val="24"/>
      <w:szCs w:val="24"/>
      <w:lang w:eastAsia="uk-UA"/>
    </w:rPr>
  </w:style>
  <w:style w:type="character" w:customStyle="1" w:styleId="apple-tab-span">
    <w:name w:val="apple-tab-span"/>
    <w:basedOn w:val="a0"/>
    <w:rsid w:val="004C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4041</Words>
  <Characters>2304</Characters>
  <Application>Microsoft Office Word</Application>
  <DocSecurity>0</DocSecurity>
  <Lines>19</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Городній Валерій</dc:creator>
  <cp:keywords/>
  <dc:description/>
  <cp:lastModifiedBy>Городній Валерій</cp:lastModifiedBy>
  <cp:revision>1</cp:revision>
  <dcterms:created xsi:type="dcterms:W3CDTF">2025-04-11T06:55:00Z</dcterms:created>
  <dcterms:modified xsi:type="dcterms:W3CDTF">2025-04-11T06:55:00Z</dcterms:modified>
</cp:coreProperties>
</file>