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52" w:rsidRDefault="00026152">
      <w:pPr>
        <w:widowControl w:val="0"/>
        <w:jc w:val="center"/>
        <w:rPr>
          <w:b/>
          <w:sz w:val="28"/>
          <w:szCs w:val="28"/>
        </w:rPr>
      </w:pPr>
      <w:bookmarkStart w:id="0" w:name="_GoBack"/>
      <w:bookmarkEnd w:id="0"/>
    </w:p>
    <w:p w:rsidR="00026152" w:rsidRDefault="00026152">
      <w:pPr>
        <w:widowControl w:val="0"/>
        <w:jc w:val="center"/>
        <w:rPr>
          <w:b/>
          <w:sz w:val="28"/>
          <w:szCs w:val="28"/>
        </w:rPr>
      </w:pPr>
    </w:p>
    <w:p w:rsidR="00026152" w:rsidRDefault="00026152" w:rsidP="00026152">
      <w:pPr>
        <w:widowControl w:val="0"/>
        <w:rPr>
          <w:b/>
          <w:sz w:val="28"/>
          <w:szCs w:val="28"/>
        </w:rPr>
      </w:pPr>
    </w:p>
    <w:p w:rsidR="00FB26E9" w:rsidRDefault="00826043">
      <w:pPr>
        <w:widowControl w:val="0"/>
        <w:jc w:val="center"/>
        <w:rPr>
          <w:b/>
          <w:sz w:val="28"/>
          <w:szCs w:val="28"/>
        </w:rPr>
      </w:pPr>
      <w:r>
        <w:rPr>
          <w:b/>
          <w:sz w:val="28"/>
          <w:szCs w:val="28"/>
        </w:rPr>
        <w:t>Аналіз регуляторного впливу</w:t>
      </w:r>
    </w:p>
    <w:p w:rsidR="00FB26E9" w:rsidRDefault="00826043">
      <w:pPr>
        <w:jc w:val="center"/>
        <w:rPr>
          <w:b/>
          <w:sz w:val="28"/>
          <w:szCs w:val="28"/>
        </w:rPr>
      </w:pPr>
      <w:r>
        <w:rPr>
          <w:b/>
          <w:sz w:val="28"/>
          <w:szCs w:val="28"/>
        </w:rPr>
        <w:t>до проекту наказу Міністерства соціальної політики України</w:t>
      </w:r>
    </w:p>
    <w:p w:rsidR="00FB26E9" w:rsidRDefault="00826043">
      <w:pPr>
        <w:jc w:val="center"/>
        <w:rPr>
          <w:b/>
          <w:sz w:val="28"/>
          <w:szCs w:val="28"/>
        </w:rPr>
      </w:pPr>
      <w:r>
        <w:rPr>
          <w:b/>
          <w:sz w:val="28"/>
          <w:szCs w:val="28"/>
        </w:rPr>
        <w:t>„</w:t>
      </w:r>
      <w:r w:rsidR="003E559E" w:rsidRPr="000D23AA">
        <w:rPr>
          <w:b/>
          <w:sz w:val="28"/>
          <w:szCs w:val="28"/>
        </w:rPr>
        <w:t>Про затвердження Державного стандарту соціа</w:t>
      </w:r>
      <w:r w:rsidR="003E559E">
        <w:rPr>
          <w:b/>
          <w:sz w:val="28"/>
          <w:szCs w:val="28"/>
        </w:rPr>
        <w:t>льної послуги консультування з пристосування</w:t>
      </w:r>
      <w:r w:rsidR="003E559E" w:rsidRPr="000D23AA">
        <w:rPr>
          <w:b/>
          <w:sz w:val="28"/>
          <w:szCs w:val="28"/>
        </w:rPr>
        <w:t xml:space="preserve"> житлових приміщень та внесення зміни до Класифікатора соціальних послуг</w:t>
      </w:r>
      <w:r>
        <w:rPr>
          <w:b/>
          <w:sz w:val="28"/>
          <w:szCs w:val="28"/>
        </w:rPr>
        <w:t>”</w:t>
      </w:r>
    </w:p>
    <w:p w:rsidR="00FB26E9" w:rsidRDefault="00FB26E9">
      <w:pPr>
        <w:rPr>
          <w:b/>
          <w:sz w:val="20"/>
          <w:szCs w:val="20"/>
        </w:rPr>
      </w:pPr>
    </w:p>
    <w:p w:rsidR="00FB26E9" w:rsidRDefault="00FB26E9">
      <w:pPr>
        <w:rPr>
          <w:b/>
          <w:sz w:val="20"/>
          <w:szCs w:val="20"/>
        </w:rPr>
      </w:pPr>
    </w:p>
    <w:p w:rsidR="00FB26E9" w:rsidRDefault="00826043">
      <w:pPr>
        <w:ind w:firstLine="708"/>
        <w:rPr>
          <w:sz w:val="28"/>
          <w:szCs w:val="28"/>
        </w:rPr>
      </w:pPr>
      <w:r>
        <w:rPr>
          <w:b/>
          <w:sz w:val="28"/>
          <w:szCs w:val="28"/>
        </w:rPr>
        <w:t>І. Визначення проблеми</w:t>
      </w:r>
      <w:r>
        <w:rPr>
          <w:sz w:val="28"/>
          <w:szCs w:val="28"/>
        </w:rPr>
        <w:t xml:space="preserve"> </w:t>
      </w:r>
    </w:p>
    <w:p w:rsidR="00FB26E9" w:rsidRDefault="00FB26E9">
      <w:pPr>
        <w:ind w:firstLine="708"/>
      </w:pPr>
    </w:p>
    <w:p w:rsidR="003E559E" w:rsidRPr="000D23AA" w:rsidRDefault="003E559E" w:rsidP="003E559E">
      <w:pPr>
        <w:ind w:firstLine="709"/>
        <w:jc w:val="both"/>
        <w:rPr>
          <w:rFonts w:eastAsia="Batang"/>
          <w:sz w:val="28"/>
          <w:szCs w:val="28"/>
          <w:lang w:eastAsia="ru-RU"/>
        </w:rPr>
      </w:pPr>
      <w:r>
        <w:rPr>
          <w:rFonts w:eastAsia="Batang"/>
          <w:sz w:val="28"/>
          <w:szCs w:val="28"/>
          <w:lang w:eastAsia="ru-RU"/>
        </w:rPr>
        <w:t>У нинішніх умовах постійно</w:t>
      </w:r>
      <w:r w:rsidRPr="000D23AA">
        <w:rPr>
          <w:rFonts w:eastAsia="Batang"/>
          <w:sz w:val="28"/>
          <w:szCs w:val="28"/>
          <w:lang w:eastAsia="ru-RU"/>
        </w:rPr>
        <w:t xml:space="preserve"> зростає кількість людей з порушеннями функціонування, що спричинені активними бойовими діями, обстрілами та супутніми факторами. За даними Мінсоцполітики, з 2022 року кількість осіб з інвалідністю збільшилася на 300 тисяч і </w:t>
      </w:r>
      <w:r>
        <w:rPr>
          <w:rFonts w:eastAsia="Batang"/>
          <w:sz w:val="28"/>
          <w:szCs w:val="28"/>
          <w:lang w:eastAsia="ru-RU"/>
        </w:rPr>
        <w:t>становить близько</w:t>
      </w:r>
      <w:r w:rsidRPr="000D23AA">
        <w:rPr>
          <w:rFonts w:eastAsia="Batang"/>
          <w:sz w:val="28"/>
          <w:szCs w:val="28"/>
          <w:lang w:eastAsia="ru-RU"/>
        </w:rPr>
        <w:t xml:space="preserve"> 3 </w:t>
      </w:r>
      <w:r>
        <w:rPr>
          <w:rFonts w:eastAsia="Batang"/>
          <w:sz w:val="28"/>
          <w:szCs w:val="28"/>
          <w:lang w:eastAsia="ru-RU"/>
        </w:rPr>
        <w:t>мільйонів</w:t>
      </w:r>
      <w:r w:rsidRPr="000D23AA">
        <w:rPr>
          <w:rFonts w:eastAsia="Batang"/>
          <w:sz w:val="28"/>
          <w:szCs w:val="28"/>
          <w:lang w:eastAsia="ru-RU"/>
        </w:rPr>
        <w:t xml:space="preserve">.  </w:t>
      </w:r>
    </w:p>
    <w:p w:rsidR="003E559E" w:rsidRPr="000D23AA" w:rsidRDefault="003E559E" w:rsidP="003E559E">
      <w:pPr>
        <w:ind w:firstLine="709"/>
        <w:jc w:val="both"/>
        <w:rPr>
          <w:rFonts w:eastAsia="Batang"/>
          <w:sz w:val="28"/>
          <w:szCs w:val="28"/>
          <w:lang w:eastAsia="ru-RU"/>
        </w:rPr>
      </w:pPr>
      <w:r>
        <w:rPr>
          <w:rFonts w:eastAsia="Batang"/>
          <w:sz w:val="28"/>
          <w:szCs w:val="28"/>
          <w:lang w:eastAsia="ru-RU"/>
        </w:rPr>
        <w:t>Із</w:t>
      </w:r>
      <w:r w:rsidRPr="000D23AA">
        <w:rPr>
          <w:rFonts w:eastAsia="Batang"/>
          <w:sz w:val="28"/>
          <w:szCs w:val="28"/>
          <w:lang w:eastAsia="ru-RU"/>
        </w:rPr>
        <w:t xml:space="preserve"> впровадженням </w:t>
      </w:r>
      <w:r>
        <w:rPr>
          <w:rFonts w:eastAsia="Batang"/>
          <w:sz w:val="28"/>
          <w:szCs w:val="28"/>
          <w:lang w:eastAsia="ru-RU"/>
        </w:rPr>
        <w:t>міжнародної класифікації функціонування</w:t>
      </w:r>
      <w:r w:rsidRPr="000D23AA">
        <w:rPr>
          <w:rFonts w:eastAsia="Batang"/>
          <w:sz w:val="28"/>
          <w:szCs w:val="28"/>
          <w:lang w:eastAsia="ru-RU"/>
        </w:rPr>
        <w:t xml:space="preserve"> якість реабілітаційної допомоги в </w:t>
      </w:r>
      <w:r>
        <w:rPr>
          <w:rFonts w:eastAsia="Batang"/>
          <w:sz w:val="28"/>
          <w:szCs w:val="28"/>
          <w:lang w:eastAsia="ru-RU"/>
        </w:rPr>
        <w:t>лікувальних закладах і</w:t>
      </w:r>
      <w:r w:rsidRPr="000D23AA">
        <w:rPr>
          <w:rFonts w:eastAsia="Batang"/>
          <w:sz w:val="28"/>
          <w:szCs w:val="28"/>
          <w:lang w:eastAsia="ru-RU"/>
        </w:rPr>
        <w:t xml:space="preserve"> реабілітаційних центрах стала покращуватис</w:t>
      </w:r>
      <w:r>
        <w:rPr>
          <w:rFonts w:eastAsia="Batang"/>
          <w:sz w:val="28"/>
          <w:szCs w:val="28"/>
          <w:lang w:eastAsia="ru-RU"/>
        </w:rPr>
        <w:t>ь</w:t>
      </w:r>
      <w:r w:rsidRPr="000D23AA">
        <w:rPr>
          <w:rFonts w:eastAsia="Batang"/>
          <w:sz w:val="28"/>
          <w:szCs w:val="28"/>
          <w:lang w:eastAsia="ru-RU"/>
        </w:rPr>
        <w:t xml:space="preserve">. Але після </w:t>
      </w:r>
      <w:r>
        <w:rPr>
          <w:rFonts w:eastAsia="Batang"/>
          <w:sz w:val="28"/>
          <w:szCs w:val="28"/>
          <w:lang w:eastAsia="ru-RU"/>
        </w:rPr>
        <w:t>лікування та реабілітації</w:t>
      </w:r>
      <w:r w:rsidRPr="000D23AA">
        <w:rPr>
          <w:rFonts w:eastAsia="Batang"/>
          <w:sz w:val="28"/>
          <w:szCs w:val="28"/>
          <w:lang w:eastAsia="ru-RU"/>
        </w:rPr>
        <w:t xml:space="preserve"> </w:t>
      </w:r>
      <w:r>
        <w:rPr>
          <w:rFonts w:eastAsia="Batang"/>
          <w:sz w:val="28"/>
          <w:szCs w:val="28"/>
          <w:lang w:eastAsia="ru-RU"/>
        </w:rPr>
        <w:t>особа</w:t>
      </w:r>
      <w:r w:rsidRPr="000D23AA">
        <w:rPr>
          <w:rFonts w:eastAsia="Batang"/>
          <w:sz w:val="28"/>
          <w:szCs w:val="28"/>
          <w:lang w:eastAsia="ru-RU"/>
        </w:rPr>
        <w:t xml:space="preserve"> з інвалідністю стикається з багатьма проблемами</w:t>
      </w:r>
      <w:r>
        <w:rPr>
          <w:rFonts w:eastAsia="Batang"/>
          <w:sz w:val="28"/>
          <w:szCs w:val="28"/>
          <w:lang w:eastAsia="ru-RU"/>
        </w:rPr>
        <w:t xml:space="preserve"> в домашніх умовах, однією </w:t>
      </w:r>
      <w:r w:rsidRPr="000D23AA">
        <w:rPr>
          <w:rFonts w:eastAsia="Batang"/>
          <w:sz w:val="28"/>
          <w:szCs w:val="28"/>
          <w:lang w:eastAsia="ru-RU"/>
        </w:rPr>
        <w:t xml:space="preserve">з яких є </w:t>
      </w:r>
      <w:r>
        <w:rPr>
          <w:rFonts w:eastAsia="Batang"/>
          <w:sz w:val="28"/>
          <w:szCs w:val="28"/>
          <w:lang w:eastAsia="ru-RU"/>
        </w:rPr>
        <w:t>непристосованість</w:t>
      </w:r>
      <w:r w:rsidRPr="000D23AA">
        <w:rPr>
          <w:rFonts w:eastAsia="Batang"/>
          <w:sz w:val="28"/>
          <w:szCs w:val="28"/>
          <w:lang w:eastAsia="ru-RU"/>
        </w:rPr>
        <w:t xml:space="preserve"> житла, </w:t>
      </w:r>
      <w:r>
        <w:rPr>
          <w:rFonts w:eastAsia="Batang"/>
          <w:sz w:val="28"/>
          <w:szCs w:val="28"/>
          <w:lang w:eastAsia="ru-RU"/>
        </w:rPr>
        <w:t>незабезпеченість</w:t>
      </w:r>
      <w:r w:rsidRPr="000D23AA">
        <w:rPr>
          <w:rFonts w:eastAsia="Batang"/>
          <w:sz w:val="28"/>
          <w:szCs w:val="28"/>
          <w:lang w:eastAsia="ru-RU"/>
        </w:rPr>
        <w:t xml:space="preserve"> доступності та мобільності. </w:t>
      </w:r>
    </w:p>
    <w:p w:rsidR="003E559E" w:rsidRPr="000D23AA" w:rsidRDefault="003E559E" w:rsidP="003E559E">
      <w:pPr>
        <w:ind w:firstLine="709"/>
        <w:jc w:val="both"/>
        <w:rPr>
          <w:rFonts w:eastAsia="Batang"/>
          <w:sz w:val="28"/>
          <w:szCs w:val="28"/>
          <w:lang w:eastAsia="ru-RU"/>
        </w:rPr>
      </w:pPr>
      <w:r>
        <w:rPr>
          <w:rFonts w:eastAsia="Batang"/>
          <w:sz w:val="28"/>
          <w:szCs w:val="28"/>
          <w:lang w:eastAsia="ru-RU"/>
        </w:rPr>
        <w:t>Особи з інвалідністю</w:t>
      </w:r>
      <w:r w:rsidRPr="000D23AA">
        <w:rPr>
          <w:rFonts w:eastAsia="Batang"/>
          <w:sz w:val="28"/>
          <w:szCs w:val="28"/>
          <w:lang w:eastAsia="ru-RU"/>
        </w:rPr>
        <w:t xml:space="preserve"> потребують підтримки, щоб бути більш незалежними, вільно пересуватися і самостійно виконувати максимальн</w:t>
      </w:r>
      <w:r>
        <w:rPr>
          <w:rFonts w:eastAsia="Batang"/>
          <w:sz w:val="28"/>
          <w:szCs w:val="28"/>
          <w:lang w:eastAsia="ru-RU"/>
        </w:rPr>
        <w:t>ий</w:t>
      </w:r>
      <w:r w:rsidRPr="000D23AA">
        <w:rPr>
          <w:rFonts w:eastAsia="Batang"/>
          <w:sz w:val="28"/>
          <w:szCs w:val="28"/>
          <w:lang w:eastAsia="ru-RU"/>
        </w:rPr>
        <w:t xml:space="preserve"> </w:t>
      </w:r>
      <w:r>
        <w:rPr>
          <w:rFonts w:eastAsia="Batang"/>
          <w:sz w:val="28"/>
          <w:szCs w:val="28"/>
          <w:lang w:eastAsia="ru-RU"/>
        </w:rPr>
        <w:t>обсяг</w:t>
      </w:r>
      <w:r w:rsidRPr="000D23AA">
        <w:rPr>
          <w:rFonts w:eastAsia="Batang"/>
          <w:sz w:val="28"/>
          <w:szCs w:val="28"/>
          <w:lang w:eastAsia="ru-RU"/>
        </w:rPr>
        <w:t xml:space="preserve"> побутових </w:t>
      </w:r>
      <w:r>
        <w:rPr>
          <w:rFonts w:eastAsia="Batang"/>
          <w:sz w:val="28"/>
          <w:szCs w:val="28"/>
          <w:lang w:eastAsia="ru-RU"/>
        </w:rPr>
        <w:t>функцій</w:t>
      </w:r>
      <w:r w:rsidRPr="000D23AA">
        <w:rPr>
          <w:rFonts w:eastAsia="Batang"/>
          <w:sz w:val="28"/>
          <w:szCs w:val="28"/>
          <w:lang w:eastAsia="ru-RU"/>
        </w:rPr>
        <w:t xml:space="preserve">. </w:t>
      </w:r>
      <w:r>
        <w:rPr>
          <w:rFonts w:eastAsia="Batang"/>
          <w:sz w:val="28"/>
          <w:szCs w:val="28"/>
          <w:lang w:eastAsia="ru-RU"/>
        </w:rPr>
        <w:t>Для них необхідні різні</w:t>
      </w:r>
      <w:r w:rsidRPr="000D23AA">
        <w:rPr>
          <w:rFonts w:eastAsia="Batang"/>
          <w:sz w:val="28"/>
          <w:szCs w:val="28"/>
          <w:lang w:eastAsia="ru-RU"/>
        </w:rPr>
        <w:t xml:space="preserve"> </w:t>
      </w:r>
      <w:r>
        <w:rPr>
          <w:rFonts w:eastAsia="Batang"/>
          <w:sz w:val="28"/>
          <w:szCs w:val="28"/>
          <w:lang w:eastAsia="ru-RU"/>
        </w:rPr>
        <w:t>пристосування</w:t>
      </w:r>
      <w:r w:rsidRPr="000D23AA">
        <w:rPr>
          <w:rFonts w:eastAsia="Batang"/>
          <w:sz w:val="28"/>
          <w:szCs w:val="28"/>
          <w:lang w:eastAsia="ru-RU"/>
        </w:rPr>
        <w:t xml:space="preserve"> на рівні поверху, будинку, прибудинкової території</w:t>
      </w:r>
      <w:r>
        <w:rPr>
          <w:rFonts w:eastAsia="Batang"/>
          <w:sz w:val="28"/>
          <w:szCs w:val="28"/>
          <w:lang w:eastAsia="ru-RU"/>
        </w:rPr>
        <w:t>.</w:t>
      </w:r>
      <w:r w:rsidRPr="000D23AA">
        <w:rPr>
          <w:rFonts w:eastAsia="Batang"/>
          <w:sz w:val="28"/>
          <w:szCs w:val="28"/>
          <w:lang w:eastAsia="ru-RU"/>
        </w:rPr>
        <w:t xml:space="preserve"> Все це є важливою базою для </w:t>
      </w:r>
      <w:r>
        <w:rPr>
          <w:rFonts w:eastAsia="Batang"/>
          <w:sz w:val="28"/>
          <w:szCs w:val="28"/>
          <w:lang w:eastAsia="ru-RU"/>
        </w:rPr>
        <w:t xml:space="preserve">їх </w:t>
      </w:r>
      <w:r w:rsidRPr="000D23AA">
        <w:rPr>
          <w:rFonts w:eastAsia="Batang"/>
          <w:sz w:val="28"/>
          <w:szCs w:val="28"/>
          <w:lang w:eastAsia="ru-RU"/>
        </w:rPr>
        <w:t>повернення до активного суспільно-економічно</w:t>
      </w:r>
      <w:r>
        <w:rPr>
          <w:rFonts w:eastAsia="Batang"/>
          <w:sz w:val="28"/>
          <w:szCs w:val="28"/>
          <w:lang w:eastAsia="ru-RU"/>
        </w:rPr>
        <w:t>го</w:t>
      </w:r>
      <w:r w:rsidRPr="000D23AA">
        <w:rPr>
          <w:rFonts w:eastAsia="Batang"/>
          <w:sz w:val="28"/>
          <w:szCs w:val="28"/>
          <w:lang w:eastAsia="ru-RU"/>
        </w:rPr>
        <w:t xml:space="preserve"> життя в громаді. </w:t>
      </w:r>
    </w:p>
    <w:p w:rsidR="003E559E" w:rsidRPr="000D23AA" w:rsidRDefault="003E559E" w:rsidP="003E559E">
      <w:pPr>
        <w:pStyle w:val="af2"/>
        <w:tabs>
          <w:tab w:val="left" w:pos="567"/>
          <w:tab w:val="left" w:pos="851"/>
        </w:tabs>
        <w:ind w:firstLine="709"/>
        <w:rPr>
          <w:szCs w:val="28"/>
          <w:highlight w:val="yellow"/>
        </w:rPr>
      </w:pPr>
      <w:bookmarkStart w:id="1" w:name="n360"/>
      <w:bookmarkStart w:id="2" w:name="n363"/>
      <w:bookmarkEnd w:id="1"/>
      <w:bookmarkEnd w:id="2"/>
      <w:r>
        <w:rPr>
          <w:szCs w:val="28"/>
          <w:lang w:eastAsia="ru-RU"/>
        </w:rPr>
        <w:t>Особливу увагу в</w:t>
      </w:r>
      <w:r w:rsidRPr="000D23AA">
        <w:rPr>
          <w:szCs w:val="28"/>
          <w:lang w:eastAsia="ru-RU"/>
        </w:rPr>
        <w:t xml:space="preserve">арто </w:t>
      </w:r>
      <w:r>
        <w:rPr>
          <w:szCs w:val="28"/>
          <w:lang w:eastAsia="ru-RU"/>
        </w:rPr>
        <w:t>звернути</w:t>
      </w:r>
      <w:r w:rsidRPr="000D23AA">
        <w:rPr>
          <w:szCs w:val="28"/>
          <w:lang w:eastAsia="ru-RU"/>
        </w:rPr>
        <w:t xml:space="preserve"> на пріоритетність питань підтримки </w:t>
      </w:r>
      <w:r w:rsidRPr="000D23AA">
        <w:rPr>
          <w:szCs w:val="28"/>
          <w:highlight w:val="white"/>
        </w:rPr>
        <w:t xml:space="preserve">осіб з інвалідністю, </w:t>
      </w:r>
      <w:r>
        <w:rPr>
          <w:szCs w:val="28"/>
          <w:highlight w:val="white"/>
        </w:rPr>
        <w:t xml:space="preserve">зі </w:t>
      </w:r>
      <w:r w:rsidRPr="000D23AA">
        <w:rPr>
          <w:szCs w:val="28"/>
          <w:highlight w:val="white"/>
        </w:rPr>
        <w:t>стійк</w:t>
      </w:r>
      <w:r>
        <w:rPr>
          <w:szCs w:val="28"/>
          <w:highlight w:val="white"/>
        </w:rPr>
        <w:t>ими</w:t>
      </w:r>
      <w:r w:rsidRPr="000D23AA">
        <w:rPr>
          <w:szCs w:val="28"/>
          <w:highlight w:val="white"/>
        </w:rPr>
        <w:t xml:space="preserve"> розлад</w:t>
      </w:r>
      <w:r>
        <w:rPr>
          <w:szCs w:val="28"/>
          <w:highlight w:val="white"/>
        </w:rPr>
        <w:t>ами</w:t>
      </w:r>
      <w:r w:rsidRPr="000D23AA">
        <w:rPr>
          <w:szCs w:val="28"/>
          <w:highlight w:val="white"/>
        </w:rPr>
        <w:t xml:space="preserve"> функцій організму, </w:t>
      </w:r>
      <w:r>
        <w:rPr>
          <w:szCs w:val="28"/>
          <w:highlight w:val="white"/>
        </w:rPr>
        <w:t>які</w:t>
      </w:r>
      <w:r w:rsidRPr="000D23AA">
        <w:rPr>
          <w:szCs w:val="28"/>
          <w:highlight w:val="white"/>
        </w:rPr>
        <w:t xml:space="preserve"> при взаємодії із зовнішнім середовищем можуть призводити до обмеження життєдіяльності, </w:t>
      </w:r>
      <w:r>
        <w:rPr>
          <w:szCs w:val="28"/>
          <w:highlight w:val="white"/>
        </w:rPr>
        <w:t xml:space="preserve">а також </w:t>
      </w:r>
      <w:r w:rsidRPr="000D23AA">
        <w:rPr>
          <w:szCs w:val="28"/>
          <w:highlight w:val="white"/>
        </w:rPr>
        <w:t xml:space="preserve">осіб, </w:t>
      </w:r>
      <w:r>
        <w:rPr>
          <w:szCs w:val="28"/>
          <w:highlight w:val="white"/>
        </w:rPr>
        <w:t>із</w:t>
      </w:r>
      <w:r w:rsidRPr="000D23AA">
        <w:rPr>
          <w:szCs w:val="28"/>
          <w:highlight w:val="white"/>
        </w:rPr>
        <w:t xml:space="preserve"> порушення</w:t>
      </w:r>
      <w:r>
        <w:rPr>
          <w:szCs w:val="28"/>
          <w:highlight w:val="white"/>
        </w:rPr>
        <w:t>ми</w:t>
      </w:r>
      <w:r w:rsidRPr="000D23AA">
        <w:rPr>
          <w:szCs w:val="28"/>
          <w:highlight w:val="white"/>
        </w:rPr>
        <w:t xml:space="preserve"> функціонування</w:t>
      </w:r>
      <w:r>
        <w:rPr>
          <w:szCs w:val="28"/>
          <w:highlight w:val="white"/>
        </w:rPr>
        <w:t xml:space="preserve">, які </w:t>
      </w:r>
      <w:r w:rsidRPr="000D23AA">
        <w:rPr>
          <w:szCs w:val="28"/>
          <w:highlight w:val="white"/>
        </w:rPr>
        <w:t>проходять реабілітацію в системі охорони здоров’я (у тому числі до встановлення інвалідності)</w:t>
      </w:r>
      <w:r w:rsidRPr="000D23AA">
        <w:rPr>
          <w:szCs w:val="28"/>
          <w:lang w:eastAsia="ru-RU"/>
        </w:rPr>
        <w:t xml:space="preserve">, </w:t>
      </w:r>
      <w:r>
        <w:rPr>
          <w:szCs w:val="28"/>
          <w:lang w:eastAsia="ru-RU"/>
        </w:rPr>
        <w:t xml:space="preserve">на </w:t>
      </w:r>
      <w:r w:rsidRPr="000D23AA">
        <w:rPr>
          <w:szCs w:val="28"/>
          <w:lang w:eastAsia="ru-RU"/>
        </w:rPr>
        <w:t>забезпечення таких осіб якісним</w:t>
      </w:r>
      <w:r>
        <w:rPr>
          <w:szCs w:val="28"/>
          <w:lang w:eastAsia="ru-RU"/>
        </w:rPr>
        <w:t xml:space="preserve"> соціальним</w:t>
      </w:r>
      <w:r w:rsidRPr="000D23AA">
        <w:rPr>
          <w:szCs w:val="28"/>
          <w:lang w:eastAsia="ru-RU"/>
        </w:rPr>
        <w:t xml:space="preserve"> сервіс</w:t>
      </w:r>
      <w:r>
        <w:rPr>
          <w:szCs w:val="28"/>
          <w:lang w:eastAsia="ru-RU"/>
        </w:rPr>
        <w:t>о</w:t>
      </w:r>
      <w:r w:rsidRPr="000D23AA">
        <w:rPr>
          <w:szCs w:val="28"/>
          <w:lang w:eastAsia="ru-RU"/>
        </w:rPr>
        <w:t>м.</w:t>
      </w:r>
    </w:p>
    <w:p w:rsidR="00FB26E9" w:rsidRDefault="003E559E" w:rsidP="003E559E">
      <w:pPr>
        <w:ind w:firstLine="709"/>
        <w:jc w:val="both"/>
        <w:rPr>
          <w:sz w:val="28"/>
          <w:szCs w:val="28"/>
        </w:rPr>
      </w:pPr>
      <w:r>
        <w:rPr>
          <w:bCs/>
          <w:iCs/>
          <w:sz w:val="28"/>
          <w:szCs w:val="28"/>
          <w:lang w:eastAsia="ru-RU"/>
        </w:rPr>
        <w:t xml:space="preserve">Для врегулювання цих питань Мінсоцполітики із залученням відповідних </w:t>
      </w:r>
      <w:r w:rsidRPr="000D23AA">
        <w:rPr>
          <w:bCs/>
          <w:iCs/>
          <w:sz w:val="28"/>
          <w:szCs w:val="28"/>
          <w:lang w:eastAsia="ru-RU"/>
        </w:rPr>
        <w:t>експерт</w:t>
      </w:r>
      <w:r>
        <w:rPr>
          <w:bCs/>
          <w:iCs/>
          <w:sz w:val="28"/>
          <w:szCs w:val="28"/>
          <w:lang w:eastAsia="ru-RU"/>
        </w:rPr>
        <w:t>ів</w:t>
      </w:r>
      <w:r w:rsidRPr="000D23AA">
        <w:rPr>
          <w:bCs/>
          <w:iCs/>
          <w:sz w:val="28"/>
          <w:szCs w:val="28"/>
          <w:lang w:eastAsia="ru-RU"/>
        </w:rPr>
        <w:t>, надавачів соціальн</w:t>
      </w:r>
      <w:r w:rsidR="005B1084">
        <w:rPr>
          <w:bCs/>
          <w:iCs/>
          <w:sz w:val="28"/>
          <w:szCs w:val="28"/>
          <w:lang w:eastAsia="ru-RU"/>
        </w:rPr>
        <w:t>их</w:t>
      </w:r>
      <w:r w:rsidRPr="000D23AA">
        <w:rPr>
          <w:bCs/>
          <w:iCs/>
          <w:sz w:val="28"/>
          <w:szCs w:val="28"/>
          <w:lang w:eastAsia="ru-RU"/>
        </w:rPr>
        <w:t xml:space="preserve"> послуг комунального та недержавного сектору </w:t>
      </w:r>
      <w:r>
        <w:rPr>
          <w:bCs/>
          <w:iCs/>
          <w:sz w:val="28"/>
          <w:szCs w:val="28"/>
          <w:lang w:eastAsia="ru-RU"/>
        </w:rPr>
        <w:t>підготовлено</w:t>
      </w:r>
      <w:r w:rsidRPr="000D23AA">
        <w:rPr>
          <w:bCs/>
          <w:iCs/>
          <w:sz w:val="28"/>
          <w:szCs w:val="28"/>
          <w:lang w:eastAsia="ru-RU"/>
        </w:rPr>
        <w:t xml:space="preserve"> проект Державного стандарту </w:t>
      </w:r>
      <w:r w:rsidRPr="000D23AA">
        <w:rPr>
          <w:sz w:val="28"/>
          <w:szCs w:val="28"/>
        </w:rPr>
        <w:t xml:space="preserve">соціальної послуги консультування з </w:t>
      </w:r>
      <w:r>
        <w:rPr>
          <w:sz w:val="28"/>
          <w:szCs w:val="28"/>
        </w:rPr>
        <w:t xml:space="preserve">пристосування </w:t>
      </w:r>
      <w:r w:rsidRPr="000D23AA">
        <w:rPr>
          <w:sz w:val="28"/>
          <w:szCs w:val="28"/>
        </w:rPr>
        <w:t>житлових приміщень</w:t>
      </w:r>
      <w:r w:rsidRPr="000D23AA">
        <w:rPr>
          <w:bCs/>
          <w:iCs/>
          <w:sz w:val="28"/>
          <w:szCs w:val="28"/>
          <w:lang w:eastAsia="ru-RU"/>
        </w:rPr>
        <w:t>.</w:t>
      </w:r>
      <w:r w:rsidR="005B1084">
        <w:rPr>
          <w:bCs/>
          <w:iCs/>
          <w:sz w:val="28"/>
          <w:szCs w:val="28"/>
          <w:lang w:eastAsia="ru-RU"/>
        </w:rPr>
        <w:t xml:space="preserve"> </w:t>
      </w:r>
      <w:r w:rsidRPr="000D23AA">
        <w:rPr>
          <w:rFonts w:eastAsia="Batang"/>
          <w:sz w:val="28"/>
          <w:szCs w:val="28"/>
          <w:lang w:eastAsia="ru-RU"/>
        </w:rPr>
        <w:t xml:space="preserve">Проект акта розроблено відповідно до </w:t>
      </w:r>
      <w:hyperlink r:id="rId8" w:anchor="n107" w:tgtFrame="_blank" w:history="1">
        <w:r w:rsidRPr="000D23AA">
          <w:rPr>
            <w:rFonts w:eastAsia="Batang"/>
            <w:sz w:val="28"/>
            <w:szCs w:val="28"/>
            <w:lang w:eastAsia="ru-RU"/>
          </w:rPr>
          <w:t>статей 11</w:t>
        </w:r>
      </w:hyperlink>
      <w:r w:rsidRPr="000D23AA">
        <w:rPr>
          <w:rFonts w:eastAsia="Batang"/>
          <w:sz w:val="28"/>
          <w:szCs w:val="28"/>
          <w:lang w:eastAsia="ru-RU"/>
        </w:rPr>
        <w:t xml:space="preserve">, </w:t>
      </w:r>
      <w:hyperlink r:id="rId9" w:anchor="n317" w:tgtFrame="_blank" w:history="1">
        <w:r w:rsidRPr="000D23AA">
          <w:rPr>
            <w:rFonts w:eastAsia="Batang"/>
            <w:sz w:val="28"/>
            <w:szCs w:val="28"/>
            <w:lang w:eastAsia="ru-RU"/>
          </w:rPr>
          <w:t>16</w:t>
        </w:r>
      </w:hyperlink>
      <w:r w:rsidRPr="000D23AA">
        <w:rPr>
          <w:rFonts w:eastAsia="Batang"/>
          <w:sz w:val="28"/>
          <w:szCs w:val="28"/>
          <w:lang w:eastAsia="ru-RU"/>
        </w:rPr>
        <w:t xml:space="preserve">, </w:t>
      </w:r>
      <w:hyperlink r:id="rId10" w:anchor="n358" w:tgtFrame="_blank" w:history="1">
        <w:r w:rsidRPr="000D23AA">
          <w:rPr>
            <w:rFonts w:eastAsia="Batang"/>
            <w:sz w:val="28"/>
            <w:szCs w:val="28"/>
            <w:lang w:eastAsia="ru-RU"/>
          </w:rPr>
          <w:t>17</w:t>
        </w:r>
      </w:hyperlink>
      <w:r w:rsidRPr="000D23AA">
        <w:rPr>
          <w:rFonts w:eastAsia="Batang"/>
          <w:sz w:val="28"/>
          <w:szCs w:val="28"/>
          <w:lang w:eastAsia="ru-RU"/>
        </w:rPr>
        <w:t xml:space="preserve"> Закону України „Про соціальні послугиˮ</w:t>
      </w:r>
      <w:r w:rsidR="00826043">
        <w:rPr>
          <w:sz w:val="28"/>
          <w:szCs w:val="28"/>
        </w:rPr>
        <w:t>.</w:t>
      </w:r>
    </w:p>
    <w:p w:rsidR="00FB26E9" w:rsidRDefault="00826043">
      <w:pPr>
        <w:jc w:val="both"/>
        <w:rPr>
          <w:sz w:val="28"/>
          <w:szCs w:val="28"/>
        </w:rPr>
      </w:pPr>
      <w:r>
        <w:rPr>
          <w:sz w:val="28"/>
          <w:szCs w:val="28"/>
        </w:rPr>
        <w:t>Основні групи (підгрупи), на які проблема має вплив:</w:t>
      </w:r>
    </w:p>
    <w:p w:rsidR="00FB26E9" w:rsidRDefault="00FB26E9">
      <w:pPr>
        <w:jc w:val="both"/>
        <w:rPr>
          <w:sz w:val="28"/>
          <w:szCs w:val="28"/>
        </w:rPr>
      </w:pPr>
    </w:p>
    <w:tbl>
      <w:tblPr>
        <w:tblStyle w:val="a5"/>
        <w:tblW w:w="732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69"/>
        <w:gridCol w:w="2026"/>
        <w:gridCol w:w="2325"/>
      </w:tblGrid>
      <w:tr w:rsidR="00FB26E9">
        <w:tc>
          <w:tcPr>
            <w:tcW w:w="2969" w:type="dxa"/>
            <w:tcBorders>
              <w:top w:val="single" w:sz="6" w:space="0" w:color="000000"/>
              <w:left w:val="single" w:sz="6" w:space="0" w:color="000000"/>
              <w:bottom w:val="single" w:sz="6" w:space="0" w:color="000000"/>
              <w:right w:val="single" w:sz="6" w:space="0" w:color="000000"/>
            </w:tcBorders>
            <w:vAlign w:val="center"/>
          </w:tcPr>
          <w:p w:rsidR="00FB26E9" w:rsidRDefault="00826043">
            <w:r>
              <w:t>Групи (підгрупи)</w:t>
            </w:r>
          </w:p>
        </w:tc>
        <w:tc>
          <w:tcPr>
            <w:tcW w:w="2026" w:type="dxa"/>
            <w:tcBorders>
              <w:top w:val="single" w:sz="6" w:space="0" w:color="000000"/>
              <w:left w:val="single" w:sz="6" w:space="0" w:color="000000"/>
              <w:bottom w:val="single" w:sz="6" w:space="0" w:color="000000"/>
              <w:right w:val="single" w:sz="6" w:space="0" w:color="000000"/>
            </w:tcBorders>
            <w:vAlign w:val="center"/>
          </w:tcPr>
          <w:p w:rsidR="00FB26E9" w:rsidRDefault="00826043">
            <w:r>
              <w:t>Так</w:t>
            </w:r>
          </w:p>
        </w:tc>
        <w:tc>
          <w:tcPr>
            <w:tcW w:w="2325" w:type="dxa"/>
            <w:tcBorders>
              <w:top w:val="single" w:sz="6" w:space="0" w:color="000000"/>
              <w:left w:val="single" w:sz="6" w:space="0" w:color="000000"/>
              <w:bottom w:val="single" w:sz="6" w:space="0" w:color="000000"/>
              <w:right w:val="single" w:sz="6" w:space="0" w:color="000000"/>
            </w:tcBorders>
            <w:vAlign w:val="center"/>
          </w:tcPr>
          <w:p w:rsidR="00FB26E9" w:rsidRDefault="00826043">
            <w:r>
              <w:t>Ні</w:t>
            </w:r>
          </w:p>
        </w:tc>
      </w:tr>
      <w:tr w:rsidR="00FB26E9">
        <w:tc>
          <w:tcPr>
            <w:tcW w:w="2969" w:type="dxa"/>
            <w:tcBorders>
              <w:top w:val="single" w:sz="6" w:space="0" w:color="000000"/>
              <w:left w:val="single" w:sz="6" w:space="0" w:color="000000"/>
              <w:bottom w:val="single" w:sz="6" w:space="0" w:color="000000"/>
              <w:right w:val="single" w:sz="6" w:space="0" w:color="000000"/>
            </w:tcBorders>
            <w:vAlign w:val="center"/>
          </w:tcPr>
          <w:p w:rsidR="00FB26E9" w:rsidRDefault="00826043">
            <w:r>
              <w:t>Громадяни</w:t>
            </w:r>
          </w:p>
        </w:tc>
        <w:tc>
          <w:tcPr>
            <w:tcW w:w="2026"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c>
          <w:tcPr>
            <w:tcW w:w="2325"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r>
      <w:tr w:rsidR="00FB26E9">
        <w:tc>
          <w:tcPr>
            <w:tcW w:w="2969" w:type="dxa"/>
            <w:tcBorders>
              <w:top w:val="single" w:sz="6" w:space="0" w:color="000000"/>
              <w:left w:val="single" w:sz="6" w:space="0" w:color="000000"/>
              <w:bottom w:val="single" w:sz="6" w:space="0" w:color="000000"/>
              <w:right w:val="single" w:sz="6" w:space="0" w:color="000000"/>
            </w:tcBorders>
            <w:vAlign w:val="center"/>
          </w:tcPr>
          <w:p w:rsidR="00FB26E9" w:rsidRDefault="00826043">
            <w:r>
              <w:t>Держава</w:t>
            </w:r>
          </w:p>
        </w:tc>
        <w:tc>
          <w:tcPr>
            <w:tcW w:w="2026"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c>
          <w:tcPr>
            <w:tcW w:w="2325"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r>
      <w:tr w:rsidR="00FB26E9">
        <w:tc>
          <w:tcPr>
            <w:tcW w:w="2969" w:type="dxa"/>
            <w:tcBorders>
              <w:top w:val="single" w:sz="6" w:space="0" w:color="000000"/>
              <w:left w:val="single" w:sz="6" w:space="0" w:color="000000"/>
              <w:bottom w:val="single" w:sz="6" w:space="0" w:color="000000"/>
              <w:right w:val="single" w:sz="6" w:space="0" w:color="000000"/>
            </w:tcBorders>
            <w:vAlign w:val="center"/>
          </w:tcPr>
          <w:p w:rsidR="00FB26E9" w:rsidRDefault="00826043">
            <w:r>
              <w:t>Суб’єкти господарювання,</w:t>
            </w:r>
          </w:p>
        </w:tc>
        <w:tc>
          <w:tcPr>
            <w:tcW w:w="2026"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c>
          <w:tcPr>
            <w:tcW w:w="2325"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r>
      <w:tr w:rsidR="00FB26E9">
        <w:tc>
          <w:tcPr>
            <w:tcW w:w="2969" w:type="dxa"/>
            <w:tcBorders>
              <w:top w:val="single" w:sz="6" w:space="0" w:color="000000"/>
              <w:left w:val="single" w:sz="6" w:space="0" w:color="000000"/>
              <w:bottom w:val="single" w:sz="6" w:space="0" w:color="000000"/>
              <w:right w:val="single" w:sz="6" w:space="0" w:color="000000"/>
            </w:tcBorders>
            <w:vAlign w:val="center"/>
          </w:tcPr>
          <w:p w:rsidR="00FB26E9" w:rsidRDefault="00826043">
            <w:r>
              <w:t>у тому числі суб’єкти малого підприємництва</w:t>
            </w:r>
          </w:p>
        </w:tc>
        <w:tc>
          <w:tcPr>
            <w:tcW w:w="2026"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c>
          <w:tcPr>
            <w:tcW w:w="2325" w:type="dxa"/>
            <w:tcBorders>
              <w:top w:val="single" w:sz="6" w:space="0" w:color="000000"/>
              <w:left w:val="single" w:sz="6" w:space="0" w:color="000000"/>
              <w:bottom w:val="single" w:sz="6" w:space="0" w:color="000000"/>
              <w:right w:val="single" w:sz="6" w:space="0" w:color="000000"/>
            </w:tcBorders>
            <w:vAlign w:val="center"/>
          </w:tcPr>
          <w:p w:rsidR="00FB26E9" w:rsidRDefault="00826043">
            <w:r>
              <w:t>-</w:t>
            </w:r>
          </w:p>
        </w:tc>
      </w:tr>
    </w:tbl>
    <w:p w:rsidR="00FB26E9" w:rsidRDefault="00826043">
      <w:pPr>
        <w:ind w:firstLine="709"/>
        <w:jc w:val="both"/>
        <w:rPr>
          <w:sz w:val="28"/>
          <w:szCs w:val="28"/>
        </w:rPr>
      </w:pPr>
      <w:r>
        <w:rPr>
          <w:sz w:val="28"/>
          <w:szCs w:val="28"/>
        </w:rPr>
        <w:t>Врегулювання зазначених проблемних питань не може бути здійснено за допомогою:</w:t>
      </w:r>
    </w:p>
    <w:p w:rsidR="00FB26E9" w:rsidRDefault="00826043">
      <w:pPr>
        <w:numPr>
          <w:ilvl w:val="0"/>
          <w:numId w:val="2"/>
        </w:numPr>
        <w:spacing w:line="259" w:lineRule="auto"/>
        <w:ind w:left="0" w:firstLine="709"/>
        <w:jc w:val="both"/>
      </w:pPr>
      <w:r>
        <w:rPr>
          <w:sz w:val="28"/>
          <w:szCs w:val="28"/>
        </w:rPr>
        <w:lastRenderedPageBreak/>
        <w:t>ринкових механізмів, оскільки такі питання регулюються виключно нормативно-правовими актами;</w:t>
      </w:r>
    </w:p>
    <w:p w:rsidR="00FB26E9" w:rsidRDefault="00826043">
      <w:pPr>
        <w:numPr>
          <w:ilvl w:val="0"/>
          <w:numId w:val="2"/>
        </w:numPr>
        <w:spacing w:line="259" w:lineRule="auto"/>
        <w:ind w:left="0" w:firstLine="709"/>
        <w:jc w:val="both"/>
      </w:pPr>
      <w:r>
        <w:rPr>
          <w:sz w:val="28"/>
          <w:szCs w:val="28"/>
        </w:rPr>
        <w:t>діючих регуляторних актів, оскільки чинним законодавством порушені питання не врегульовані.</w:t>
      </w:r>
    </w:p>
    <w:p w:rsidR="00FB26E9" w:rsidRDefault="00FB26E9">
      <w:pPr>
        <w:rPr>
          <w:b/>
          <w:sz w:val="28"/>
          <w:szCs w:val="28"/>
        </w:rPr>
      </w:pPr>
    </w:p>
    <w:p w:rsidR="00FB26E9" w:rsidRDefault="00826043">
      <w:pPr>
        <w:ind w:firstLine="709"/>
        <w:rPr>
          <w:b/>
          <w:sz w:val="28"/>
          <w:szCs w:val="28"/>
        </w:rPr>
      </w:pPr>
      <w:r>
        <w:rPr>
          <w:b/>
          <w:sz w:val="28"/>
          <w:szCs w:val="28"/>
        </w:rPr>
        <w:t xml:space="preserve">ІІ. Цілі державного регулювання </w:t>
      </w:r>
    </w:p>
    <w:p w:rsidR="00FB26E9" w:rsidRDefault="00FB26E9">
      <w:pPr>
        <w:ind w:firstLine="709"/>
        <w:rPr>
          <w:sz w:val="28"/>
          <w:szCs w:val="28"/>
        </w:rPr>
      </w:pPr>
    </w:p>
    <w:p w:rsidR="00FB26E9" w:rsidRDefault="00826043">
      <w:pPr>
        <w:ind w:firstLine="709"/>
        <w:jc w:val="both"/>
        <w:rPr>
          <w:sz w:val="28"/>
          <w:szCs w:val="28"/>
        </w:rPr>
      </w:pPr>
      <w:r>
        <w:rPr>
          <w:sz w:val="28"/>
          <w:szCs w:val="28"/>
        </w:rPr>
        <w:t xml:space="preserve">Метою державного регулювання є встановлення єдиних вимог до змісту та обсягу, норм, умов та порядку надання соціальної послуги </w:t>
      </w:r>
      <w:r w:rsidR="003E559E" w:rsidRPr="003E559E">
        <w:rPr>
          <w:sz w:val="28"/>
          <w:szCs w:val="28"/>
        </w:rPr>
        <w:t>консультування з пристосування житлових приміщень</w:t>
      </w:r>
      <w:r w:rsidRPr="003E559E">
        <w:rPr>
          <w:sz w:val="28"/>
          <w:szCs w:val="28"/>
        </w:rPr>
        <w:t>,</w:t>
      </w:r>
      <w:r>
        <w:rPr>
          <w:sz w:val="28"/>
          <w:szCs w:val="28"/>
        </w:rPr>
        <w:t xml:space="preserve"> визначення показників її якості, виконання Закону України „Про соціальні послугиˮ, чітке законодавче регулювання діяльності надавачів соціальних послуг, забезпечення найкращих інтересів отримувачів соціальних послуг та прав людини.</w:t>
      </w:r>
    </w:p>
    <w:p w:rsidR="00137E06" w:rsidRDefault="00826043">
      <w:pPr>
        <w:ind w:firstLine="709"/>
        <w:jc w:val="both"/>
        <w:rPr>
          <w:sz w:val="28"/>
          <w:szCs w:val="28"/>
        </w:rPr>
      </w:pPr>
      <w:r w:rsidRPr="009543EA">
        <w:rPr>
          <w:sz w:val="28"/>
          <w:szCs w:val="28"/>
        </w:rPr>
        <w:t>Прийняття акт</w:t>
      </w:r>
      <w:r w:rsidR="00815B94" w:rsidRPr="009543EA">
        <w:rPr>
          <w:sz w:val="28"/>
          <w:szCs w:val="28"/>
        </w:rPr>
        <w:t>у</w:t>
      </w:r>
      <w:r w:rsidRPr="009543EA">
        <w:rPr>
          <w:sz w:val="28"/>
          <w:szCs w:val="28"/>
        </w:rPr>
        <w:t xml:space="preserve"> забезпечить посилення соціального захисту осіб </w:t>
      </w:r>
      <w:r w:rsidR="003E559E" w:rsidRPr="000D23AA">
        <w:rPr>
          <w:rFonts w:eastAsia="Batang"/>
          <w:sz w:val="28"/>
          <w:szCs w:val="28"/>
          <w:lang w:eastAsia="ru-RU"/>
        </w:rPr>
        <w:t>з порушеннями функціонування</w:t>
      </w:r>
      <w:r w:rsidR="003E559E">
        <w:rPr>
          <w:rFonts w:eastAsia="Batang"/>
          <w:sz w:val="28"/>
          <w:szCs w:val="28"/>
          <w:lang w:eastAsia="ru-RU"/>
        </w:rPr>
        <w:t>, осіб з інвалідністю,</w:t>
      </w:r>
      <w:r w:rsidRPr="009543EA">
        <w:rPr>
          <w:sz w:val="28"/>
          <w:szCs w:val="28"/>
        </w:rPr>
        <w:t xml:space="preserve"> шляхом забезпечення комплексного підходу до надання їм соціальних послуг,</w:t>
      </w:r>
      <w:r w:rsidR="00137E06" w:rsidRPr="009543EA">
        <w:rPr>
          <w:sz w:val="28"/>
          <w:szCs w:val="28"/>
        </w:rPr>
        <w:t xml:space="preserve"> залучення членів їх сім’ї,</w:t>
      </w:r>
      <w:r w:rsidRPr="009543EA">
        <w:rPr>
          <w:sz w:val="28"/>
          <w:szCs w:val="28"/>
        </w:rPr>
        <w:t xml:space="preserve"> а також забезпечення </w:t>
      </w:r>
      <w:r w:rsidR="003E559E">
        <w:rPr>
          <w:sz w:val="28"/>
          <w:szCs w:val="28"/>
        </w:rPr>
        <w:t>задоволення потреб осіб з порушеннями функціонування, осіб з інвалідністю в облаштуванні житла допоміжними засобами реабілітації, підвищення їхньої мобільності</w:t>
      </w:r>
      <w:r w:rsidR="00137E06" w:rsidRPr="009543EA">
        <w:rPr>
          <w:sz w:val="28"/>
          <w:szCs w:val="28"/>
        </w:rPr>
        <w:t>.</w:t>
      </w:r>
    </w:p>
    <w:p w:rsidR="00FB26E9" w:rsidRDefault="00FB26E9">
      <w:pPr>
        <w:ind w:firstLine="709"/>
        <w:jc w:val="both"/>
        <w:rPr>
          <w:b/>
          <w:sz w:val="28"/>
          <w:szCs w:val="28"/>
        </w:rPr>
      </w:pPr>
    </w:p>
    <w:p w:rsidR="00FB26E9" w:rsidRDefault="00826043">
      <w:pPr>
        <w:ind w:firstLine="709"/>
        <w:jc w:val="both"/>
        <w:rPr>
          <w:b/>
          <w:sz w:val="28"/>
          <w:szCs w:val="28"/>
        </w:rPr>
      </w:pPr>
      <w:r>
        <w:rPr>
          <w:b/>
          <w:sz w:val="28"/>
          <w:szCs w:val="28"/>
        </w:rPr>
        <w:t>ІІІ. Визначення та оцінка альтернативних способів досягнення цілей</w:t>
      </w:r>
    </w:p>
    <w:p w:rsidR="00FB26E9" w:rsidRDefault="00FB26E9">
      <w:pPr>
        <w:ind w:firstLine="709"/>
        <w:jc w:val="both"/>
        <w:rPr>
          <w:sz w:val="28"/>
          <w:szCs w:val="28"/>
        </w:rPr>
      </w:pPr>
    </w:p>
    <w:p w:rsidR="00FB26E9" w:rsidRDefault="00826043">
      <w:pPr>
        <w:numPr>
          <w:ilvl w:val="0"/>
          <w:numId w:val="3"/>
        </w:numPr>
        <w:tabs>
          <w:tab w:val="left" w:pos="993"/>
        </w:tabs>
        <w:spacing w:line="259" w:lineRule="auto"/>
        <w:ind w:left="0" w:firstLine="709"/>
        <w:jc w:val="both"/>
        <w:rPr>
          <w:sz w:val="28"/>
          <w:szCs w:val="28"/>
        </w:rPr>
      </w:pPr>
      <w:r>
        <w:rPr>
          <w:sz w:val="28"/>
          <w:szCs w:val="28"/>
        </w:rPr>
        <w:t>Визначення альтернативних способів</w:t>
      </w:r>
    </w:p>
    <w:p w:rsidR="00FB26E9" w:rsidRDefault="00FB26E9">
      <w:pPr>
        <w:tabs>
          <w:tab w:val="left" w:pos="993"/>
        </w:tabs>
        <w:spacing w:before="120"/>
        <w:ind w:left="709"/>
        <w:jc w:val="both"/>
        <w:rPr>
          <w:sz w:val="12"/>
          <w:szCs w:val="12"/>
        </w:rPr>
      </w:pPr>
    </w:p>
    <w:tbl>
      <w:tblPr>
        <w:tblStyle w:val="a6"/>
        <w:tblW w:w="962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47"/>
        <w:gridCol w:w="7076"/>
      </w:tblGrid>
      <w:tr w:rsidR="00FB26E9">
        <w:tc>
          <w:tcPr>
            <w:tcW w:w="2547" w:type="dxa"/>
            <w:tcBorders>
              <w:top w:val="single" w:sz="6" w:space="0" w:color="000000"/>
              <w:left w:val="single" w:sz="6" w:space="0" w:color="000000"/>
              <w:bottom w:val="single" w:sz="6" w:space="0" w:color="000000"/>
              <w:right w:val="single" w:sz="6" w:space="0" w:color="000000"/>
            </w:tcBorders>
            <w:vAlign w:val="center"/>
          </w:tcPr>
          <w:p w:rsidR="00FB26E9" w:rsidRDefault="00826043">
            <w:r>
              <w:t>Вид альтернативи</w:t>
            </w:r>
          </w:p>
        </w:tc>
        <w:tc>
          <w:tcPr>
            <w:tcW w:w="7076" w:type="dxa"/>
            <w:tcBorders>
              <w:top w:val="single" w:sz="6" w:space="0" w:color="000000"/>
              <w:left w:val="single" w:sz="6" w:space="0" w:color="000000"/>
              <w:bottom w:val="single" w:sz="6" w:space="0" w:color="000000"/>
              <w:right w:val="single" w:sz="6" w:space="0" w:color="000000"/>
            </w:tcBorders>
            <w:vAlign w:val="center"/>
          </w:tcPr>
          <w:p w:rsidR="00FB26E9" w:rsidRDefault="00826043">
            <w:r>
              <w:t>Опис альтернативи</w:t>
            </w:r>
          </w:p>
        </w:tc>
      </w:tr>
      <w:tr w:rsidR="00FB26E9">
        <w:tc>
          <w:tcPr>
            <w:tcW w:w="2547"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1</w:t>
            </w:r>
          </w:p>
          <w:p w:rsidR="00FB26E9" w:rsidRDefault="00826043">
            <w:pPr>
              <w:jc w:val="both"/>
            </w:pPr>
            <w:r>
              <w:t xml:space="preserve">Затвердження Державного стандарту соціальної послуги </w:t>
            </w:r>
            <w:r w:rsidR="003E559E" w:rsidRPr="003E559E">
              <w:t>консультування з пристосування житлових приміщень</w:t>
            </w:r>
            <w:r w:rsidR="003333CA">
              <w:t>.</w:t>
            </w:r>
          </w:p>
        </w:tc>
        <w:tc>
          <w:tcPr>
            <w:tcW w:w="7076"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Така альтернатива досягнення цілей державного регулювання забезпечить:</w:t>
            </w:r>
          </w:p>
          <w:p w:rsidR="00FB26E9" w:rsidRDefault="00826043">
            <w:pPr>
              <w:jc w:val="both"/>
            </w:pPr>
            <w:r>
              <w:t xml:space="preserve">- виконання актів вищої юридичної сили, оскільки статтею 17 Закону України „Про соціальні послугиˮ визначено, що соціальні послуги надаються надавачами соціальних послуг державного, комунального, недержавного секторів незалежно від джерел фінансування відповідно до державних стандартів соціальних послуг; державні стандарти соціальних послуг затверджуються центральним органом виконавчої влади, що забезпечує формування державної політики у сфері соціального захисту населення;  </w:t>
            </w:r>
          </w:p>
          <w:p w:rsidR="00FB26E9" w:rsidRDefault="00826043">
            <w:pPr>
              <w:jc w:val="both"/>
            </w:pPr>
            <w:r>
              <w:t xml:space="preserve">- створить нормативно-правове поле для діяльності надавачів соціальної послуги щодо надання соціальної послуги </w:t>
            </w:r>
            <w:r w:rsidR="00FE1A44">
              <w:t>консультування з пристосування житлових приміщень</w:t>
            </w:r>
            <w:r>
              <w:t>. Зокрема, такі надавачі зможуть підтвердити відповідність критеріям діяльності надавачів соціальних послуг і бути включені до Реєстру надавачів та отримувачів соціальних послуг;</w:t>
            </w:r>
          </w:p>
          <w:p w:rsidR="00FB26E9" w:rsidRDefault="00826043">
            <w:pPr>
              <w:jc w:val="both"/>
            </w:pPr>
            <w:r>
              <w:t>- відкритість соціальної послуги для її отримувачів;</w:t>
            </w:r>
          </w:p>
          <w:p w:rsidR="00FB26E9" w:rsidRDefault="00826043">
            <w:pPr>
              <w:jc w:val="both"/>
            </w:pPr>
            <w:r>
              <w:t>- найкращі інтереси отримувачів соціальної послуги.</w:t>
            </w:r>
          </w:p>
        </w:tc>
      </w:tr>
      <w:tr w:rsidR="00FB26E9">
        <w:tc>
          <w:tcPr>
            <w:tcW w:w="2547"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2</w:t>
            </w:r>
          </w:p>
          <w:p w:rsidR="00FB26E9" w:rsidRDefault="00826043">
            <w:pPr>
              <w:jc w:val="both"/>
            </w:pPr>
            <w:r>
              <w:t xml:space="preserve">Не затверджувати Державний стандарт соціальної послуги </w:t>
            </w:r>
            <w:r>
              <w:lastRenderedPageBreak/>
              <w:t xml:space="preserve">соціальної послуги </w:t>
            </w:r>
            <w:r w:rsidR="00FE1A44">
              <w:t>консультування з пристосування житлових приміщень</w:t>
            </w:r>
            <w:r w:rsidR="003333CA">
              <w:t>.</w:t>
            </w:r>
          </w:p>
        </w:tc>
        <w:tc>
          <w:tcPr>
            <w:tcW w:w="7076" w:type="dxa"/>
            <w:tcBorders>
              <w:top w:val="single" w:sz="6" w:space="0" w:color="000000"/>
              <w:left w:val="single" w:sz="6" w:space="0" w:color="000000"/>
              <w:bottom w:val="single" w:sz="6" w:space="0" w:color="000000"/>
              <w:right w:val="single" w:sz="6" w:space="0" w:color="000000"/>
            </w:tcBorders>
          </w:tcPr>
          <w:p w:rsidR="00FB26E9" w:rsidRDefault="00826043" w:rsidP="005B1084">
            <w:pPr>
              <w:jc w:val="both"/>
            </w:pPr>
            <w:r>
              <w:lastRenderedPageBreak/>
              <w:t xml:space="preserve">Така альтернатива досягнення цілей державного регулювання суперечитиме актам вищої юридичної сили; діяльність надавачів соціальних послуг залишиться без нормативно-правового регулювання і такі надавачі не зможуть бути надавачами </w:t>
            </w:r>
            <w:r>
              <w:lastRenderedPageBreak/>
              <w:t xml:space="preserve">соціальних послуг; підвищиться ризик порушення </w:t>
            </w:r>
            <w:r w:rsidR="005B1084" w:rsidRPr="005B1084">
              <w:t>осіб з порушеннями функціонування, осіб з інвалідністю</w:t>
            </w:r>
            <w:r>
              <w:t>.  </w:t>
            </w:r>
          </w:p>
        </w:tc>
      </w:tr>
    </w:tbl>
    <w:p w:rsidR="00FE1A44" w:rsidRDefault="00FE1A44"/>
    <w:p w:rsidR="00FB26E9" w:rsidRDefault="00826043">
      <w:pPr>
        <w:rPr>
          <w:sz w:val="28"/>
          <w:szCs w:val="28"/>
        </w:rPr>
      </w:pPr>
      <w:r>
        <w:t> </w:t>
      </w:r>
      <w:r>
        <w:rPr>
          <w:sz w:val="28"/>
          <w:szCs w:val="28"/>
        </w:rPr>
        <w:t>Оцінка вибраних альтернативних способів досягнення цілей</w:t>
      </w:r>
    </w:p>
    <w:p w:rsidR="00FB26E9" w:rsidRDefault="00FB26E9">
      <w:pPr>
        <w:ind w:firstLine="708"/>
        <w:rPr>
          <w:sz w:val="12"/>
          <w:szCs w:val="12"/>
          <w:u w:val="single"/>
        </w:rPr>
      </w:pPr>
    </w:p>
    <w:p w:rsidR="00FB26E9" w:rsidRDefault="00826043">
      <w:pPr>
        <w:ind w:firstLine="708"/>
        <w:rPr>
          <w:sz w:val="28"/>
          <w:szCs w:val="28"/>
        </w:rPr>
      </w:pPr>
      <w:r>
        <w:rPr>
          <w:sz w:val="28"/>
          <w:szCs w:val="28"/>
          <w:u w:val="single"/>
        </w:rPr>
        <w:t>Оцінка впливу на сферу інтересів держави:</w:t>
      </w:r>
    </w:p>
    <w:p w:rsidR="00FB26E9" w:rsidRDefault="00826043">
      <w:pPr>
        <w:ind w:firstLine="708"/>
        <w:rPr>
          <w:sz w:val="12"/>
          <w:szCs w:val="12"/>
        </w:rPr>
      </w:pPr>
      <w:r>
        <w:t xml:space="preserve">   </w:t>
      </w:r>
    </w:p>
    <w:tbl>
      <w:tblPr>
        <w:tblStyle w:val="a7"/>
        <w:tblW w:w="977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8"/>
        <w:gridCol w:w="3934"/>
        <w:gridCol w:w="3271"/>
      </w:tblGrid>
      <w:tr w:rsidR="00FB26E9" w:rsidTr="003333CA">
        <w:tc>
          <w:tcPr>
            <w:tcW w:w="2568" w:type="dxa"/>
            <w:tcBorders>
              <w:top w:val="single" w:sz="6" w:space="0" w:color="000000"/>
              <w:left w:val="single" w:sz="6" w:space="0" w:color="000000"/>
              <w:bottom w:val="single" w:sz="6" w:space="0" w:color="000000"/>
              <w:right w:val="single" w:sz="6" w:space="0" w:color="000000"/>
            </w:tcBorders>
            <w:vAlign w:val="center"/>
          </w:tcPr>
          <w:p w:rsidR="00FB26E9" w:rsidRDefault="00826043">
            <w:pPr>
              <w:jc w:val="center"/>
            </w:pPr>
            <w:r>
              <w:t>Вид альтернативи</w:t>
            </w:r>
          </w:p>
        </w:tc>
        <w:tc>
          <w:tcPr>
            <w:tcW w:w="3934" w:type="dxa"/>
            <w:tcBorders>
              <w:top w:val="single" w:sz="6" w:space="0" w:color="000000"/>
              <w:left w:val="single" w:sz="6" w:space="0" w:color="000000"/>
              <w:bottom w:val="single" w:sz="6" w:space="0" w:color="000000"/>
              <w:right w:val="single" w:sz="6" w:space="0" w:color="000000"/>
            </w:tcBorders>
            <w:vAlign w:val="center"/>
          </w:tcPr>
          <w:p w:rsidR="00FB26E9" w:rsidRDefault="00826043">
            <w:pPr>
              <w:jc w:val="center"/>
            </w:pPr>
            <w:r>
              <w:t>Вигоди</w:t>
            </w:r>
          </w:p>
        </w:tc>
        <w:tc>
          <w:tcPr>
            <w:tcW w:w="3271" w:type="dxa"/>
            <w:tcBorders>
              <w:top w:val="single" w:sz="6" w:space="0" w:color="000000"/>
              <w:left w:val="single" w:sz="6" w:space="0" w:color="000000"/>
              <w:bottom w:val="single" w:sz="6" w:space="0" w:color="000000"/>
              <w:right w:val="single" w:sz="6" w:space="0" w:color="000000"/>
            </w:tcBorders>
            <w:vAlign w:val="center"/>
          </w:tcPr>
          <w:p w:rsidR="00FB26E9" w:rsidRDefault="00826043">
            <w:pPr>
              <w:jc w:val="center"/>
            </w:pPr>
            <w:r>
              <w:t>Витрати</w:t>
            </w:r>
          </w:p>
        </w:tc>
      </w:tr>
      <w:tr w:rsidR="00FB26E9" w:rsidTr="003333CA">
        <w:tc>
          <w:tcPr>
            <w:tcW w:w="2568"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1</w:t>
            </w:r>
          </w:p>
          <w:p w:rsidR="00FB26E9" w:rsidRDefault="00826043">
            <w:pPr>
              <w:jc w:val="both"/>
            </w:pPr>
            <w:r>
              <w:t xml:space="preserve">Затвердження Державного стандарту соціальної послуги </w:t>
            </w:r>
            <w:r w:rsidR="003333CA">
              <w:t>консультування з пристосування житлових приміщень</w:t>
            </w:r>
            <w:r>
              <w:t xml:space="preserve">. </w:t>
            </w:r>
          </w:p>
        </w:tc>
        <w:tc>
          <w:tcPr>
            <w:tcW w:w="3934"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 xml:space="preserve">Чітке законодавче визначення  змісту та обсягу, норм і нормативів, умов та порядку надання соціальної послуги </w:t>
            </w:r>
            <w:r w:rsidR="003333CA">
              <w:t>консультування з пристосування житлових приміщень</w:t>
            </w:r>
            <w:r>
              <w:t xml:space="preserve"> (далі – соціальна послуга), показників її якості; уникнення правових колізій та створення правових умов для діяльності надавачів цієї соціальної послуги.</w:t>
            </w:r>
          </w:p>
          <w:p w:rsidR="00FB26E9" w:rsidRDefault="00826043">
            <w:pPr>
              <w:jc w:val="both"/>
            </w:pPr>
            <w:r>
              <w:t xml:space="preserve">Суб’єкти, які будуть надавати таку послугу, зможуть підтвердити свою відповідність критеріям діяльності надавачів соціальних послуг та будуть включені до Реєстру надавачів та отримувачів соціальних послуг. </w:t>
            </w:r>
          </w:p>
        </w:tc>
        <w:tc>
          <w:tcPr>
            <w:tcW w:w="3271" w:type="dxa"/>
            <w:tcBorders>
              <w:top w:val="single" w:sz="6" w:space="0" w:color="000000"/>
              <w:left w:val="single" w:sz="6" w:space="0" w:color="000000"/>
              <w:bottom w:val="single" w:sz="6" w:space="0" w:color="000000"/>
              <w:right w:val="single" w:sz="6" w:space="0" w:color="000000"/>
            </w:tcBorders>
          </w:tcPr>
          <w:p w:rsidR="00FB26E9" w:rsidRPr="009543EA" w:rsidRDefault="00826043">
            <w:pPr>
              <w:jc w:val="both"/>
              <w:rPr>
                <w:color w:val="000000"/>
              </w:rPr>
            </w:pPr>
            <w:r w:rsidRPr="009543EA">
              <w:rPr>
                <w:color w:val="000000"/>
              </w:rPr>
              <w:t xml:space="preserve">Не потребує додаткових видатків з державного бюджету. </w:t>
            </w:r>
          </w:p>
          <w:p w:rsidR="00BE544B" w:rsidRPr="009543EA" w:rsidRDefault="00BE544B">
            <w:pPr>
              <w:jc w:val="both"/>
              <w:rPr>
                <w:color w:val="000000"/>
              </w:rPr>
            </w:pPr>
            <w:r w:rsidRPr="009543EA">
              <w:rPr>
                <w:color w:val="000000"/>
              </w:rPr>
              <w:t xml:space="preserve">Відповідно до статті 11 Закону України ,,Про соціальні послуги” до повноважень районних, районних у містах Києві та Севастополі державних адміністрацій, виконавчих органів міських рад міст обласного значення, рад об’єднаних територіальних громад належать, зокрема, забезпечення за результатами оцінювання потреб особи/сім’ї надання базових соціальних послуг особам/сім’ям відповідно до їхніх потреб, вжиття заходів з </w:t>
            </w:r>
            <w:r w:rsidR="003333CA">
              <w:rPr>
                <w:color w:val="000000"/>
              </w:rPr>
              <w:t>надання інших соціальних послуг таким </w:t>
            </w:r>
            <w:r w:rsidRPr="009543EA">
              <w:rPr>
                <w:color w:val="000000"/>
              </w:rPr>
              <w:t>особам/сім’ям.</w:t>
            </w:r>
          </w:p>
          <w:p w:rsidR="00FB26E9" w:rsidRPr="009543EA" w:rsidRDefault="00BE544B">
            <w:pPr>
              <w:jc w:val="both"/>
              <w:rPr>
                <w:color w:val="000000"/>
              </w:rPr>
            </w:pPr>
            <w:r w:rsidRPr="009543EA">
              <w:rPr>
                <w:color w:val="000000"/>
              </w:rPr>
              <w:t>Витрати суб’єкта, що надає  соціальну послугу, комунального сектору будуть компенсовані за рахунок коштів місцевих бюджетів.</w:t>
            </w:r>
          </w:p>
        </w:tc>
      </w:tr>
      <w:tr w:rsidR="00FB26E9" w:rsidTr="003333CA">
        <w:tc>
          <w:tcPr>
            <w:tcW w:w="2568"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 xml:space="preserve">Альтернатива 2 </w:t>
            </w:r>
          </w:p>
          <w:p w:rsidR="00FB26E9" w:rsidRDefault="00826043">
            <w:pPr>
              <w:jc w:val="both"/>
            </w:pPr>
            <w:r>
              <w:t xml:space="preserve">Не затверджувати Державний стандарт соціальної послуги </w:t>
            </w:r>
            <w:r w:rsidR="003333CA">
              <w:t>консультування з пристосування житлових приміщень</w:t>
            </w:r>
            <w:r>
              <w:t xml:space="preserve">.  </w:t>
            </w:r>
          </w:p>
        </w:tc>
        <w:tc>
          <w:tcPr>
            <w:tcW w:w="3934"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Відсутні, оскільки не забезпечено виконання Закону України „Про соціальні послугиˮ, Діяльність суб’єктів</w:t>
            </w:r>
            <w:r w:rsidR="003333CA">
              <w:t xml:space="preserve">, що надають соціальну послугу, </w:t>
            </w:r>
            <w:r>
              <w:t>залишиться неврегульованою, вони не зможуть бути надавачами соціальних послуг.  </w:t>
            </w:r>
          </w:p>
        </w:tc>
        <w:tc>
          <w:tcPr>
            <w:tcW w:w="3271" w:type="dxa"/>
            <w:tcBorders>
              <w:top w:val="single" w:sz="6" w:space="0" w:color="000000"/>
              <w:left w:val="single" w:sz="6" w:space="0" w:color="000000"/>
              <w:bottom w:val="single" w:sz="6" w:space="0" w:color="000000"/>
              <w:right w:val="single" w:sz="6" w:space="0" w:color="000000"/>
            </w:tcBorders>
          </w:tcPr>
          <w:p w:rsidR="00FB26E9" w:rsidRDefault="00826043">
            <w:pPr>
              <w:jc w:val="both"/>
            </w:pPr>
            <w:r>
              <w:rPr>
                <w:color w:val="000000"/>
              </w:rPr>
              <w:t>Не потребує додаткових видатків з державного бюджету.</w:t>
            </w:r>
          </w:p>
        </w:tc>
      </w:tr>
    </w:tbl>
    <w:p w:rsidR="00FB26E9" w:rsidRDefault="00FB26E9"/>
    <w:p w:rsidR="00FB26E9" w:rsidRDefault="00826043">
      <w:pPr>
        <w:ind w:firstLine="708"/>
        <w:rPr>
          <w:sz w:val="28"/>
          <w:szCs w:val="28"/>
          <w:u w:val="single"/>
        </w:rPr>
      </w:pPr>
      <w:r>
        <w:rPr>
          <w:sz w:val="28"/>
          <w:szCs w:val="28"/>
          <w:u w:val="single"/>
        </w:rPr>
        <w:t>Оцінка впливу на сферу інтересів громадян</w:t>
      </w:r>
      <w:r>
        <w:rPr>
          <w:sz w:val="28"/>
          <w:szCs w:val="28"/>
        </w:rPr>
        <w:t>:  </w:t>
      </w:r>
      <w:r>
        <w:rPr>
          <w:sz w:val="28"/>
          <w:szCs w:val="28"/>
          <w:u w:val="single"/>
        </w:rPr>
        <w:t xml:space="preserve"> </w:t>
      </w:r>
    </w:p>
    <w:p w:rsidR="00FB26E9" w:rsidRDefault="00FB26E9">
      <w:pPr>
        <w:rPr>
          <w:sz w:val="12"/>
          <w:szCs w:val="12"/>
        </w:rPr>
      </w:pPr>
    </w:p>
    <w:tbl>
      <w:tblPr>
        <w:tblStyle w:val="a8"/>
        <w:tblW w:w="962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60"/>
        <w:gridCol w:w="3475"/>
        <w:gridCol w:w="3688"/>
      </w:tblGrid>
      <w:tr w:rsidR="00FB26E9">
        <w:tc>
          <w:tcPr>
            <w:tcW w:w="2460" w:type="dxa"/>
            <w:tcBorders>
              <w:top w:val="single" w:sz="6" w:space="0" w:color="000000"/>
              <w:left w:val="single" w:sz="6" w:space="0" w:color="000000"/>
              <w:bottom w:val="single" w:sz="6" w:space="0" w:color="000000"/>
              <w:right w:val="single" w:sz="6" w:space="0" w:color="000000"/>
            </w:tcBorders>
            <w:vAlign w:val="center"/>
          </w:tcPr>
          <w:p w:rsidR="00FB26E9" w:rsidRDefault="00826043">
            <w:r>
              <w:t>Вид альтернативи</w:t>
            </w:r>
          </w:p>
        </w:tc>
        <w:tc>
          <w:tcPr>
            <w:tcW w:w="3475" w:type="dxa"/>
            <w:tcBorders>
              <w:top w:val="single" w:sz="6" w:space="0" w:color="000000"/>
              <w:left w:val="single" w:sz="6" w:space="0" w:color="000000"/>
              <w:bottom w:val="single" w:sz="6" w:space="0" w:color="000000"/>
              <w:right w:val="single" w:sz="6" w:space="0" w:color="000000"/>
            </w:tcBorders>
            <w:vAlign w:val="center"/>
          </w:tcPr>
          <w:p w:rsidR="00FB26E9" w:rsidRDefault="00826043">
            <w:r>
              <w:t>Вигоди</w:t>
            </w:r>
          </w:p>
        </w:tc>
        <w:tc>
          <w:tcPr>
            <w:tcW w:w="3688" w:type="dxa"/>
            <w:tcBorders>
              <w:top w:val="single" w:sz="6" w:space="0" w:color="000000"/>
              <w:left w:val="single" w:sz="6" w:space="0" w:color="000000"/>
              <w:bottom w:val="single" w:sz="6" w:space="0" w:color="000000"/>
              <w:right w:val="single" w:sz="6" w:space="0" w:color="000000"/>
            </w:tcBorders>
            <w:vAlign w:val="center"/>
          </w:tcPr>
          <w:p w:rsidR="00FB26E9" w:rsidRDefault="00826043">
            <w:r>
              <w:t>Витрати</w:t>
            </w:r>
          </w:p>
        </w:tc>
      </w:tr>
      <w:tr w:rsidR="00FB26E9">
        <w:tc>
          <w:tcPr>
            <w:tcW w:w="2460"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1</w:t>
            </w:r>
          </w:p>
          <w:p w:rsidR="00FB26E9" w:rsidRDefault="00826043">
            <w:pPr>
              <w:jc w:val="both"/>
            </w:pPr>
            <w:r>
              <w:t xml:space="preserve">Затвердження Державного стандарту соціальної </w:t>
            </w:r>
            <w:r>
              <w:lastRenderedPageBreak/>
              <w:t xml:space="preserve">послуги </w:t>
            </w:r>
            <w:r w:rsidR="003333CA">
              <w:t>консультування з пристосування житлових приміщень</w:t>
            </w:r>
            <w:r>
              <w:t>.</w:t>
            </w:r>
          </w:p>
        </w:tc>
        <w:tc>
          <w:tcPr>
            <w:tcW w:w="3475" w:type="dxa"/>
            <w:tcBorders>
              <w:top w:val="single" w:sz="6" w:space="0" w:color="000000"/>
              <w:left w:val="single" w:sz="6" w:space="0" w:color="000000"/>
              <w:bottom w:val="single" w:sz="6" w:space="0" w:color="000000"/>
              <w:right w:val="single" w:sz="6" w:space="0" w:color="000000"/>
            </w:tcBorders>
          </w:tcPr>
          <w:p w:rsidR="00FB26E9" w:rsidRPr="009543EA" w:rsidRDefault="00826043">
            <w:pPr>
              <w:jc w:val="both"/>
            </w:pPr>
            <w:r w:rsidRPr="009543EA">
              <w:lastRenderedPageBreak/>
              <w:t xml:space="preserve">В цілому наявні вигоди через встановлення чітких процедур з прийняття рішення щодо надання соціальної послуги, </w:t>
            </w:r>
            <w:r w:rsidRPr="009543EA">
              <w:lastRenderedPageBreak/>
              <w:t>визначення змісту соціальної послуги та її обсягу.  </w:t>
            </w:r>
          </w:p>
          <w:p w:rsidR="00FB26E9" w:rsidRPr="009543EA" w:rsidRDefault="00826043">
            <w:pPr>
              <w:jc w:val="both"/>
            </w:pPr>
            <w:r w:rsidRPr="009543EA">
              <w:t>Це дасть можливість забезпечити дотримання суб’єктами, що надають соціальну послугу, основних принципів, зокрема дотримання прав людини, поваги до честі та гідності, доступності та відкритості.</w:t>
            </w:r>
          </w:p>
          <w:p w:rsidR="00FB26E9" w:rsidRPr="009543EA" w:rsidRDefault="00826043">
            <w:pPr>
              <w:jc w:val="both"/>
            </w:pPr>
            <w:r w:rsidRPr="009543EA">
              <w:t xml:space="preserve">Суб’єкти, що надаватимуть соціальну послугу, будуть включені до Реєстру надавачів та отримувачів соціальних послуг. </w:t>
            </w:r>
          </w:p>
          <w:p w:rsidR="00BE544B" w:rsidRPr="009543EA" w:rsidRDefault="00826043">
            <w:pPr>
              <w:jc w:val="both"/>
            </w:pPr>
            <w:r w:rsidRPr="009543EA">
              <w:t>Громадяни, ознайомившись з Реєстром надавачів та отримувачів соціальних послуг,   будуть знати, які із суб’єктів, що надають соціальну послугу, відповідають встановленим критеріям діяльності надавачів і надають цю соціальну послугу якісно.</w:t>
            </w:r>
          </w:p>
          <w:p w:rsidR="00FB26E9" w:rsidRPr="009543EA" w:rsidRDefault="00BE544B" w:rsidP="005B1084">
            <w:pPr>
              <w:jc w:val="both"/>
            </w:pPr>
            <w:r w:rsidRPr="009543EA">
              <w:t>Прийняття акт</w:t>
            </w:r>
            <w:r w:rsidR="00815B94" w:rsidRPr="009543EA">
              <w:t>у</w:t>
            </w:r>
            <w:r w:rsidRPr="009543EA">
              <w:t xml:space="preserve"> </w:t>
            </w:r>
            <w:r w:rsidR="003333CA" w:rsidRPr="009543EA">
              <w:t>наддасть</w:t>
            </w:r>
            <w:r w:rsidRPr="009543EA">
              <w:t xml:space="preserve"> змогу </w:t>
            </w:r>
            <w:r w:rsidR="005B1084" w:rsidRPr="005B1084">
              <w:t>ос</w:t>
            </w:r>
            <w:r w:rsidR="005B1084">
              <w:t>обам</w:t>
            </w:r>
            <w:r w:rsidR="005B1084" w:rsidRPr="005B1084">
              <w:t xml:space="preserve"> з порушеннями функціонування, ос</w:t>
            </w:r>
            <w:r w:rsidR="005B1084">
              <w:t>обам</w:t>
            </w:r>
            <w:r w:rsidR="005B1084" w:rsidRPr="005B1084">
              <w:t xml:space="preserve"> з інвалідністю</w:t>
            </w:r>
            <w:r w:rsidRPr="009543EA">
              <w:t xml:space="preserve"> отримати якісні соціальні послуги, в повному обсязі та які відповідають їхнім потребам. </w:t>
            </w:r>
          </w:p>
        </w:tc>
        <w:tc>
          <w:tcPr>
            <w:tcW w:w="3688" w:type="dxa"/>
            <w:tcBorders>
              <w:top w:val="single" w:sz="6" w:space="0" w:color="000000"/>
              <w:left w:val="single" w:sz="6" w:space="0" w:color="000000"/>
              <w:bottom w:val="single" w:sz="6" w:space="0" w:color="000000"/>
              <w:right w:val="single" w:sz="6" w:space="0" w:color="000000"/>
            </w:tcBorders>
          </w:tcPr>
          <w:p w:rsidR="00FB26E9" w:rsidRPr="009543EA" w:rsidRDefault="00826043">
            <w:pPr>
              <w:jc w:val="both"/>
            </w:pPr>
            <w:r w:rsidRPr="009543EA">
              <w:lastRenderedPageBreak/>
              <w:t>Реалізація не потребує додаткових матеріальних та інших витрат з боку громадян.</w:t>
            </w:r>
          </w:p>
          <w:p w:rsidR="00FB26E9" w:rsidRPr="009543EA" w:rsidRDefault="00FB26E9">
            <w:pPr>
              <w:jc w:val="both"/>
            </w:pPr>
          </w:p>
        </w:tc>
      </w:tr>
      <w:tr w:rsidR="00FB26E9">
        <w:tc>
          <w:tcPr>
            <w:tcW w:w="2460"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2</w:t>
            </w:r>
          </w:p>
          <w:p w:rsidR="00FB26E9" w:rsidRDefault="00826043">
            <w:pPr>
              <w:jc w:val="both"/>
            </w:pPr>
            <w:r>
              <w:t xml:space="preserve">Не затверджувати Державний стандарт соціальної послуги соціальної послуги </w:t>
            </w:r>
            <w:r w:rsidR="003333CA">
              <w:t>консультування з пристосування житлових приміщень</w:t>
            </w:r>
            <w:r>
              <w:t xml:space="preserve">.  </w:t>
            </w:r>
          </w:p>
        </w:tc>
        <w:tc>
          <w:tcPr>
            <w:tcW w:w="3475"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Ситуація залишається на існуючому рівні – отримувачі соціальної послуги не обізнані щодо змісту та обсягу соціальної послуги; кожен надавач соціальної послуги самостійно визначає зміст та обсяг соціальної послуги, тому громадяни отримують соціальну послугу різного змісту та об’єму у різних надавачів. Крім того, суб’єкти, що надаватимуть соціальну послугу, не підтвердять відповідність критеріям діяльності надавачів соціальних послуг, тому надання соціальної послуги може бути неякісним та із порушенням прав людини, дитини.</w:t>
            </w:r>
          </w:p>
        </w:tc>
        <w:tc>
          <w:tcPr>
            <w:tcW w:w="3688"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Реалізація не потребує додаткових матеріальних та інших витрат з боку громадян.</w:t>
            </w:r>
          </w:p>
        </w:tc>
      </w:tr>
    </w:tbl>
    <w:p w:rsidR="00FB26E9" w:rsidRDefault="00826043">
      <w:r>
        <w:t xml:space="preserve">  </w:t>
      </w:r>
    </w:p>
    <w:p w:rsidR="00FB26E9" w:rsidRDefault="00826043">
      <w:pPr>
        <w:spacing w:before="120"/>
        <w:ind w:firstLine="709"/>
        <w:jc w:val="both"/>
        <w:rPr>
          <w:sz w:val="28"/>
          <w:szCs w:val="28"/>
          <w:u w:val="single"/>
        </w:rPr>
      </w:pPr>
      <w:r>
        <w:rPr>
          <w:sz w:val="28"/>
          <w:szCs w:val="28"/>
          <w:u w:val="single"/>
        </w:rPr>
        <w:lastRenderedPageBreak/>
        <w:t>Оцінка впливу на сферу інтересів суб’єктів господарювання:</w:t>
      </w:r>
    </w:p>
    <w:p w:rsidR="00FB26E9" w:rsidRDefault="00826043">
      <w:pPr>
        <w:spacing w:before="120" w:after="120"/>
        <w:ind w:firstLine="709"/>
        <w:jc w:val="both"/>
        <w:rPr>
          <w:sz w:val="28"/>
          <w:szCs w:val="28"/>
        </w:rPr>
      </w:pPr>
      <w:r>
        <w:rPr>
          <w:sz w:val="28"/>
          <w:szCs w:val="28"/>
        </w:rPr>
        <w:t xml:space="preserve">Відповідно до інформації, зазначеної в Реєстрі надавачів та отримувачів соціальних послуг, розміщеному на веб-сайті Міністерства соціальної політики, кількість суб’єктів малого та мікропідприємництва, на яких поширюватиметься запропоноване регулювання, становить </w:t>
      </w:r>
      <w:r w:rsidR="00971E68">
        <w:rPr>
          <w:sz w:val="28"/>
          <w:szCs w:val="28"/>
        </w:rPr>
        <w:t>2011</w:t>
      </w:r>
      <w:r>
        <w:rPr>
          <w:sz w:val="28"/>
          <w:szCs w:val="28"/>
        </w:rPr>
        <w:t xml:space="preserve"> одиниць.</w:t>
      </w:r>
    </w:p>
    <w:tbl>
      <w:tblPr>
        <w:tblStyle w:val="a9"/>
        <w:tblW w:w="96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87"/>
        <w:gridCol w:w="344"/>
        <w:gridCol w:w="1344"/>
        <w:gridCol w:w="1362"/>
        <w:gridCol w:w="808"/>
        <w:gridCol w:w="518"/>
        <w:gridCol w:w="1344"/>
        <w:gridCol w:w="1215"/>
      </w:tblGrid>
      <w:tr w:rsidR="00FB26E9">
        <w:tc>
          <w:tcPr>
            <w:tcW w:w="3031" w:type="dxa"/>
            <w:gridSpan w:val="2"/>
            <w:tcBorders>
              <w:top w:val="single" w:sz="6" w:space="0" w:color="000000"/>
              <w:left w:val="single" w:sz="6" w:space="0" w:color="000000"/>
              <w:bottom w:val="single" w:sz="6" w:space="0" w:color="000000"/>
              <w:right w:val="single" w:sz="6" w:space="0" w:color="000000"/>
            </w:tcBorders>
            <w:vAlign w:val="center"/>
          </w:tcPr>
          <w:p w:rsidR="00FB26E9" w:rsidRDefault="00826043">
            <w:pPr>
              <w:spacing w:after="160" w:line="259" w:lineRule="auto"/>
            </w:pPr>
            <w:r>
              <w:t>Показник</w:t>
            </w:r>
          </w:p>
        </w:tc>
        <w:tc>
          <w:tcPr>
            <w:tcW w:w="1344" w:type="dxa"/>
            <w:tcBorders>
              <w:top w:val="single" w:sz="6" w:space="0" w:color="000000"/>
              <w:left w:val="single" w:sz="6" w:space="0" w:color="000000"/>
              <w:bottom w:val="single" w:sz="6" w:space="0" w:color="000000"/>
              <w:right w:val="single" w:sz="6" w:space="0" w:color="000000"/>
            </w:tcBorders>
            <w:vAlign w:val="center"/>
          </w:tcPr>
          <w:p w:rsidR="00FB26E9" w:rsidRDefault="00826043">
            <w:pPr>
              <w:spacing w:after="160" w:line="259" w:lineRule="auto"/>
            </w:pPr>
            <w:r>
              <w:t>Великі</w:t>
            </w:r>
          </w:p>
        </w:tc>
        <w:tc>
          <w:tcPr>
            <w:tcW w:w="1362" w:type="dxa"/>
            <w:tcBorders>
              <w:top w:val="single" w:sz="6" w:space="0" w:color="000000"/>
              <w:left w:val="single" w:sz="6" w:space="0" w:color="000000"/>
              <w:bottom w:val="single" w:sz="6" w:space="0" w:color="000000"/>
              <w:right w:val="single" w:sz="6" w:space="0" w:color="000000"/>
            </w:tcBorders>
            <w:vAlign w:val="center"/>
          </w:tcPr>
          <w:p w:rsidR="00FB26E9" w:rsidRDefault="00826043">
            <w:pPr>
              <w:spacing w:after="160" w:line="259" w:lineRule="auto"/>
            </w:pPr>
            <w:r>
              <w:t>Середні</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26E9" w:rsidRDefault="00826043">
            <w:pPr>
              <w:spacing w:after="160" w:line="259" w:lineRule="auto"/>
            </w:pPr>
            <w:r>
              <w:t>Малі</w:t>
            </w:r>
          </w:p>
        </w:tc>
        <w:tc>
          <w:tcPr>
            <w:tcW w:w="1344" w:type="dxa"/>
            <w:tcBorders>
              <w:top w:val="single" w:sz="6" w:space="0" w:color="000000"/>
              <w:left w:val="single" w:sz="6" w:space="0" w:color="000000"/>
              <w:bottom w:val="single" w:sz="6" w:space="0" w:color="000000"/>
              <w:right w:val="single" w:sz="6" w:space="0" w:color="000000"/>
            </w:tcBorders>
            <w:vAlign w:val="center"/>
          </w:tcPr>
          <w:p w:rsidR="00FB26E9" w:rsidRDefault="00826043">
            <w:pPr>
              <w:spacing w:after="160" w:line="259" w:lineRule="auto"/>
            </w:pPr>
            <w:r>
              <w:t>Мікро</w:t>
            </w:r>
          </w:p>
        </w:tc>
        <w:tc>
          <w:tcPr>
            <w:tcW w:w="1215" w:type="dxa"/>
            <w:tcBorders>
              <w:top w:val="single" w:sz="6" w:space="0" w:color="000000"/>
              <w:left w:val="single" w:sz="6" w:space="0" w:color="000000"/>
              <w:bottom w:val="single" w:sz="6" w:space="0" w:color="000000"/>
              <w:right w:val="single" w:sz="6" w:space="0" w:color="000000"/>
            </w:tcBorders>
            <w:vAlign w:val="center"/>
          </w:tcPr>
          <w:p w:rsidR="00FB26E9" w:rsidRDefault="00826043">
            <w:pPr>
              <w:spacing w:after="160" w:line="259" w:lineRule="auto"/>
            </w:pPr>
            <w:r>
              <w:t>Разом</w:t>
            </w:r>
          </w:p>
        </w:tc>
      </w:tr>
      <w:tr w:rsidR="00971E68">
        <w:tc>
          <w:tcPr>
            <w:tcW w:w="3031" w:type="dxa"/>
            <w:gridSpan w:val="2"/>
            <w:tcBorders>
              <w:top w:val="single" w:sz="6" w:space="0" w:color="000000"/>
              <w:left w:val="single" w:sz="6" w:space="0" w:color="000000"/>
              <w:bottom w:val="single" w:sz="6" w:space="0" w:color="000000"/>
              <w:right w:val="single" w:sz="6" w:space="0" w:color="000000"/>
            </w:tcBorders>
            <w:vAlign w:val="center"/>
          </w:tcPr>
          <w:p w:rsidR="00971E68" w:rsidRDefault="00971E68" w:rsidP="00971E68">
            <w:pPr>
              <w:spacing w:after="160" w:line="259" w:lineRule="auto"/>
              <w:jc w:val="both"/>
            </w:pPr>
            <w:r>
              <w:t>Кількість суб’єктів господарювання, що підпадають під дію регулювання, одиниць</w:t>
            </w:r>
          </w:p>
        </w:tc>
        <w:tc>
          <w:tcPr>
            <w:tcW w:w="1344" w:type="dxa"/>
            <w:tcBorders>
              <w:top w:val="single" w:sz="6" w:space="0" w:color="000000"/>
              <w:left w:val="single" w:sz="6" w:space="0" w:color="000000"/>
              <w:bottom w:val="single" w:sz="6" w:space="0" w:color="000000"/>
              <w:right w:val="single" w:sz="6" w:space="0" w:color="000000"/>
            </w:tcBorders>
            <w:vAlign w:val="center"/>
          </w:tcPr>
          <w:p w:rsidR="00971E68" w:rsidRDefault="00971E68" w:rsidP="00971E68">
            <w:pPr>
              <w:spacing w:after="160" w:line="259" w:lineRule="auto"/>
              <w:jc w:val="both"/>
            </w:pPr>
            <w:r>
              <w:t>-</w:t>
            </w:r>
          </w:p>
        </w:tc>
        <w:tc>
          <w:tcPr>
            <w:tcW w:w="1362" w:type="dxa"/>
            <w:tcBorders>
              <w:top w:val="single" w:sz="6" w:space="0" w:color="000000"/>
              <w:left w:val="single" w:sz="6" w:space="0" w:color="000000"/>
              <w:bottom w:val="single" w:sz="6" w:space="0" w:color="000000"/>
              <w:right w:val="single" w:sz="6" w:space="0" w:color="000000"/>
            </w:tcBorders>
            <w:vAlign w:val="center"/>
          </w:tcPr>
          <w:p w:rsidR="00971E68" w:rsidRDefault="00971E68" w:rsidP="00971E68">
            <w:pPr>
              <w:spacing w:after="160" w:line="259" w:lineRule="auto"/>
              <w:jc w:val="both"/>
            </w:pPr>
            <w:r>
              <w:t>-</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971E68" w:rsidRPr="00B67F42" w:rsidRDefault="00971E68" w:rsidP="00971E68">
            <w:pPr>
              <w:spacing w:after="160" w:line="259" w:lineRule="auto"/>
              <w:jc w:val="both"/>
              <w:rPr>
                <w:rFonts w:eastAsiaTheme="minorHAnsi"/>
                <w:color w:val="000000" w:themeColor="text1"/>
                <w:lang w:eastAsia="en-US"/>
              </w:rPr>
            </w:pPr>
            <w:r w:rsidRPr="00B67F42">
              <w:rPr>
                <w:rFonts w:eastAsiaTheme="minorHAnsi"/>
                <w:color w:val="000000" w:themeColor="text1"/>
                <w:lang w:eastAsia="en-US"/>
              </w:rPr>
              <w:t>843</w:t>
            </w:r>
          </w:p>
        </w:tc>
        <w:tc>
          <w:tcPr>
            <w:tcW w:w="1344" w:type="dxa"/>
            <w:tcBorders>
              <w:top w:val="single" w:sz="6" w:space="0" w:color="000000"/>
              <w:left w:val="single" w:sz="6" w:space="0" w:color="000000"/>
              <w:bottom w:val="single" w:sz="6" w:space="0" w:color="000000"/>
              <w:right w:val="single" w:sz="6" w:space="0" w:color="000000"/>
            </w:tcBorders>
            <w:vAlign w:val="center"/>
          </w:tcPr>
          <w:p w:rsidR="00971E68" w:rsidRPr="00B67F42" w:rsidRDefault="00971E68" w:rsidP="00971E68">
            <w:pPr>
              <w:spacing w:after="160" w:line="259" w:lineRule="auto"/>
              <w:jc w:val="both"/>
              <w:rPr>
                <w:rFonts w:eastAsiaTheme="minorHAnsi"/>
                <w:color w:val="000000" w:themeColor="text1"/>
                <w:lang w:eastAsia="en-US"/>
              </w:rPr>
            </w:pPr>
            <w:r w:rsidRPr="00B67F42">
              <w:rPr>
                <w:rFonts w:eastAsiaTheme="minorHAnsi"/>
                <w:color w:val="000000" w:themeColor="text1"/>
                <w:lang w:eastAsia="en-US"/>
              </w:rPr>
              <w:t>1168</w:t>
            </w:r>
          </w:p>
        </w:tc>
        <w:tc>
          <w:tcPr>
            <w:tcW w:w="1215" w:type="dxa"/>
            <w:tcBorders>
              <w:top w:val="single" w:sz="6" w:space="0" w:color="000000"/>
              <w:left w:val="single" w:sz="6" w:space="0" w:color="000000"/>
              <w:bottom w:val="single" w:sz="6" w:space="0" w:color="000000"/>
              <w:right w:val="single" w:sz="6" w:space="0" w:color="000000"/>
            </w:tcBorders>
            <w:vAlign w:val="center"/>
          </w:tcPr>
          <w:p w:rsidR="00971E68" w:rsidRPr="00B67F42" w:rsidRDefault="00971E68" w:rsidP="00971E68">
            <w:pPr>
              <w:spacing w:after="160" w:line="259" w:lineRule="auto"/>
              <w:jc w:val="both"/>
              <w:rPr>
                <w:rFonts w:eastAsiaTheme="minorHAnsi"/>
                <w:color w:val="000000" w:themeColor="text1"/>
                <w:lang w:eastAsia="en-US"/>
              </w:rPr>
            </w:pPr>
            <w:r w:rsidRPr="00B67F42">
              <w:rPr>
                <w:rFonts w:eastAsiaTheme="minorHAnsi"/>
                <w:color w:val="000000" w:themeColor="text1"/>
                <w:lang w:eastAsia="en-US"/>
              </w:rPr>
              <w:t>2011</w:t>
            </w:r>
          </w:p>
        </w:tc>
      </w:tr>
      <w:tr w:rsidR="00971E68">
        <w:tc>
          <w:tcPr>
            <w:tcW w:w="3031" w:type="dxa"/>
            <w:gridSpan w:val="2"/>
            <w:tcBorders>
              <w:top w:val="single" w:sz="6" w:space="0" w:color="000000"/>
              <w:left w:val="single" w:sz="6" w:space="0" w:color="000000"/>
              <w:bottom w:val="single" w:sz="6" w:space="0" w:color="000000"/>
              <w:right w:val="single" w:sz="6" w:space="0" w:color="000000"/>
            </w:tcBorders>
            <w:vAlign w:val="center"/>
          </w:tcPr>
          <w:p w:rsidR="00971E68" w:rsidRDefault="00971E68" w:rsidP="00971E68">
            <w:pPr>
              <w:spacing w:after="160" w:line="259" w:lineRule="auto"/>
            </w:pPr>
            <w:r>
              <w:t>Питома вага групи у загальній кількості, відсотків</w:t>
            </w:r>
          </w:p>
        </w:tc>
        <w:tc>
          <w:tcPr>
            <w:tcW w:w="1344" w:type="dxa"/>
            <w:tcBorders>
              <w:top w:val="single" w:sz="6" w:space="0" w:color="000000"/>
              <w:left w:val="single" w:sz="6" w:space="0" w:color="000000"/>
              <w:bottom w:val="single" w:sz="6" w:space="0" w:color="000000"/>
              <w:right w:val="single" w:sz="6" w:space="0" w:color="000000"/>
            </w:tcBorders>
            <w:vAlign w:val="center"/>
          </w:tcPr>
          <w:p w:rsidR="00971E68" w:rsidRDefault="00971E68" w:rsidP="00971E68">
            <w:pPr>
              <w:spacing w:after="160" w:line="259" w:lineRule="auto"/>
            </w:pPr>
            <w:r>
              <w:t>-</w:t>
            </w:r>
          </w:p>
        </w:tc>
        <w:tc>
          <w:tcPr>
            <w:tcW w:w="1362" w:type="dxa"/>
            <w:tcBorders>
              <w:top w:val="single" w:sz="6" w:space="0" w:color="000000"/>
              <w:left w:val="single" w:sz="6" w:space="0" w:color="000000"/>
              <w:bottom w:val="single" w:sz="6" w:space="0" w:color="000000"/>
              <w:right w:val="single" w:sz="6" w:space="0" w:color="000000"/>
            </w:tcBorders>
            <w:vAlign w:val="center"/>
          </w:tcPr>
          <w:p w:rsidR="00971E68" w:rsidRDefault="00971E68" w:rsidP="00971E68">
            <w:pPr>
              <w:spacing w:after="160" w:line="259" w:lineRule="auto"/>
            </w:pPr>
            <w:r>
              <w:t>-</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971E68" w:rsidRPr="00B67F42" w:rsidRDefault="00971E68" w:rsidP="00971E68">
            <w:pPr>
              <w:spacing w:after="160" w:line="259" w:lineRule="auto"/>
              <w:rPr>
                <w:rFonts w:eastAsiaTheme="minorHAnsi"/>
                <w:color w:val="000000" w:themeColor="text1"/>
                <w:lang w:eastAsia="en-US"/>
              </w:rPr>
            </w:pPr>
            <w:r w:rsidRPr="00B67F42">
              <w:rPr>
                <w:rFonts w:eastAsiaTheme="minorHAnsi"/>
                <w:color w:val="000000" w:themeColor="text1"/>
                <w:lang w:eastAsia="en-US"/>
              </w:rPr>
              <w:t>42%</w:t>
            </w:r>
          </w:p>
        </w:tc>
        <w:tc>
          <w:tcPr>
            <w:tcW w:w="1344" w:type="dxa"/>
            <w:tcBorders>
              <w:top w:val="single" w:sz="6" w:space="0" w:color="000000"/>
              <w:left w:val="single" w:sz="6" w:space="0" w:color="000000"/>
              <w:bottom w:val="single" w:sz="6" w:space="0" w:color="000000"/>
              <w:right w:val="single" w:sz="6" w:space="0" w:color="000000"/>
            </w:tcBorders>
            <w:vAlign w:val="center"/>
          </w:tcPr>
          <w:p w:rsidR="00971E68" w:rsidRPr="00B67F42" w:rsidRDefault="00971E68" w:rsidP="00971E68">
            <w:pPr>
              <w:spacing w:after="160" w:line="259" w:lineRule="auto"/>
              <w:rPr>
                <w:rFonts w:eastAsiaTheme="minorHAnsi"/>
                <w:color w:val="000000" w:themeColor="text1"/>
                <w:lang w:eastAsia="en-US"/>
              </w:rPr>
            </w:pPr>
            <w:r w:rsidRPr="00B67F42">
              <w:rPr>
                <w:rFonts w:eastAsiaTheme="minorHAnsi"/>
                <w:color w:val="000000" w:themeColor="text1"/>
                <w:lang w:val="en-US" w:eastAsia="en-US"/>
              </w:rPr>
              <w:t>5</w:t>
            </w:r>
            <w:r w:rsidRPr="00B67F42">
              <w:rPr>
                <w:rFonts w:eastAsiaTheme="minorHAnsi"/>
                <w:color w:val="000000" w:themeColor="text1"/>
                <w:lang w:eastAsia="en-US"/>
              </w:rPr>
              <w:t>8%</w:t>
            </w:r>
          </w:p>
        </w:tc>
        <w:tc>
          <w:tcPr>
            <w:tcW w:w="1215" w:type="dxa"/>
            <w:tcBorders>
              <w:top w:val="single" w:sz="6" w:space="0" w:color="000000"/>
              <w:left w:val="single" w:sz="6" w:space="0" w:color="000000"/>
              <w:bottom w:val="single" w:sz="6" w:space="0" w:color="000000"/>
              <w:right w:val="single" w:sz="6" w:space="0" w:color="000000"/>
            </w:tcBorders>
            <w:vAlign w:val="center"/>
          </w:tcPr>
          <w:p w:rsidR="00971E68" w:rsidRPr="00B67F42" w:rsidRDefault="00971E68" w:rsidP="00971E68">
            <w:pPr>
              <w:spacing w:after="160" w:line="259" w:lineRule="auto"/>
              <w:rPr>
                <w:rFonts w:eastAsiaTheme="minorHAnsi"/>
                <w:color w:val="000000" w:themeColor="text1"/>
                <w:lang w:eastAsia="en-US"/>
              </w:rPr>
            </w:pPr>
            <w:r w:rsidRPr="00B67F42">
              <w:rPr>
                <w:rFonts w:eastAsiaTheme="minorHAnsi"/>
                <w:color w:val="000000" w:themeColor="text1"/>
                <w:lang w:eastAsia="en-US"/>
              </w:rPr>
              <w:t>100%</w:t>
            </w:r>
          </w:p>
        </w:tc>
      </w:tr>
      <w:tr w:rsidR="00FB26E9">
        <w:tc>
          <w:tcPr>
            <w:tcW w:w="2687" w:type="dxa"/>
            <w:tcBorders>
              <w:top w:val="single" w:sz="6" w:space="0" w:color="000000"/>
              <w:left w:val="single" w:sz="6" w:space="0" w:color="000000"/>
              <w:bottom w:val="single" w:sz="6" w:space="0" w:color="000000"/>
              <w:right w:val="single" w:sz="6" w:space="0" w:color="000000"/>
            </w:tcBorders>
            <w:vAlign w:val="center"/>
          </w:tcPr>
          <w:p w:rsidR="00FB26E9" w:rsidRDefault="00826043">
            <w:r>
              <w:t>Вид альтернативи</w:t>
            </w:r>
          </w:p>
        </w:tc>
        <w:tc>
          <w:tcPr>
            <w:tcW w:w="3858" w:type="dxa"/>
            <w:gridSpan w:val="4"/>
            <w:tcBorders>
              <w:top w:val="single" w:sz="6" w:space="0" w:color="000000"/>
              <w:left w:val="single" w:sz="6" w:space="0" w:color="000000"/>
              <w:bottom w:val="single" w:sz="6" w:space="0" w:color="000000"/>
              <w:right w:val="single" w:sz="6" w:space="0" w:color="000000"/>
            </w:tcBorders>
            <w:vAlign w:val="center"/>
          </w:tcPr>
          <w:p w:rsidR="00FB26E9" w:rsidRDefault="00826043">
            <w:r>
              <w:t>Вигоди</w:t>
            </w:r>
          </w:p>
        </w:tc>
        <w:tc>
          <w:tcPr>
            <w:tcW w:w="3077" w:type="dxa"/>
            <w:gridSpan w:val="3"/>
            <w:tcBorders>
              <w:top w:val="single" w:sz="6" w:space="0" w:color="000000"/>
              <w:left w:val="single" w:sz="6" w:space="0" w:color="000000"/>
              <w:bottom w:val="single" w:sz="6" w:space="0" w:color="000000"/>
              <w:right w:val="single" w:sz="6" w:space="0" w:color="000000"/>
            </w:tcBorders>
            <w:vAlign w:val="center"/>
          </w:tcPr>
          <w:p w:rsidR="00FB26E9" w:rsidRDefault="00826043">
            <w:r>
              <w:t>Витрати</w:t>
            </w:r>
          </w:p>
        </w:tc>
      </w:tr>
      <w:tr w:rsidR="00FB26E9">
        <w:tc>
          <w:tcPr>
            <w:tcW w:w="2687"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1</w:t>
            </w:r>
          </w:p>
          <w:p w:rsidR="00FB26E9" w:rsidRDefault="00826043">
            <w:pPr>
              <w:jc w:val="both"/>
            </w:pPr>
            <w:r>
              <w:t xml:space="preserve">Затвердження Державного стандарту соціальної послуги соціальної послуги </w:t>
            </w:r>
            <w:r w:rsidR="00635C43">
              <w:t>консультування з пристосування житлових приміщень</w:t>
            </w:r>
            <w:r>
              <w:t>.</w:t>
            </w:r>
          </w:p>
        </w:tc>
        <w:tc>
          <w:tcPr>
            <w:tcW w:w="3858" w:type="dxa"/>
            <w:gridSpan w:val="4"/>
            <w:tcBorders>
              <w:top w:val="single" w:sz="6" w:space="0" w:color="000000"/>
              <w:left w:val="single" w:sz="6" w:space="0" w:color="000000"/>
              <w:bottom w:val="single" w:sz="6" w:space="0" w:color="000000"/>
              <w:right w:val="single" w:sz="6" w:space="0" w:color="000000"/>
            </w:tcBorders>
          </w:tcPr>
          <w:p w:rsidR="00FB26E9" w:rsidRPr="009543EA" w:rsidRDefault="00826043">
            <w:pPr>
              <w:jc w:val="both"/>
            </w:pPr>
            <w:r w:rsidRPr="009543EA">
              <w:t>Чітке нормативно-правове регулювання діяльності суб’єкта, що надає соціальну послугу,  можливість підтвердження відповідності встановленим критеріям діяльності надавачів соціальних послуг.</w:t>
            </w:r>
          </w:p>
          <w:p w:rsidR="00815B94" w:rsidRPr="009543EA" w:rsidRDefault="00EC7964" w:rsidP="00667C9B">
            <w:pPr>
              <w:jc w:val="both"/>
            </w:pPr>
            <w:r w:rsidRPr="009543EA">
              <w:t>П</w:t>
            </w:r>
            <w:r w:rsidR="00815B94" w:rsidRPr="009543EA">
              <w:t>рийняття акту</w:t>
            </w:r>
            <w:r w:rsidRPr="009543EA">
              <w:t xml:space="preserve"> надасть надавачам соціальних послуг визначення критеріїв</w:t>
            </w:r>
            <w:r w:rsidR="00635C43">
              <w:t xml:space="preserve"> у осіб з порушенням функціонування, осіб з інвалідністю щодо потреб в пристосування житлових приміщень допоміжними засобами реабілітації</w:t>
            </w:r>
            <w:r w:rsidRPr="009543EA">
              <w:t xml:space="preserve">, з метою планування переліку заходів для надання соціальних послуг, </w:t>
            </w:r>
            <w:r w:rsidR="00667C9B" w:rsidRPr="009543EA">
              <w:t>перелік</w:t>
            </w:r>
            <w:r w:rsidR="00635C43">
              <w:t>у необхідних допоміжних засобів реабілітації для пристосування житлових прим</w:t>
            </w:r>
            <w:r w:rsidR="005F4C12">
              <w:t>іщень зазначеній категорії осіб, формування плану надання соціальної послуги</w:t>
            </w:r>
            <w:r w:rsidR="00667C9B" w:rsidRPr="009543EA">
              <w:t>.</w:t>
            </w:r>
          </w:p>
          <w:p w:rsidR="00FB26E9" w:rsidRPr="009543EA" w:rsidRDefault="00FB26E9">
            <w:pPr>
              <w:jc w:val="both"/>
            </w:pPr>
          </w:p>
        </w:tc>
        <w:tc>
          <w:tcPr>
            <w:tcW w:w="3077" w:type="dxa"/>
            <w:gridSpan w:val="3"/>
            <w:tcBorders>
              <w:top w:val="single" w:sz="6" w:space="0" w:color="000000"/>
              <w:left w:val="single" w:sz="6" w:space="0" w:color="000000"/>
              <w:bottom w:val="single" w:sz="6" w:space="0" w:color="000000"/>
              <w:right w:val="single" w:sz="6" w:space="0" w:color="000000"/>
            </w:tcBorders>
          </w:tcPr>
          <w:p w:rsidR="00FB26E9" w:rsidRPr="009543EA" w:rsidRDefault="00826043">
            <w:pPr>
              <w:jc w:val="both"/>
            </w:pPr>
            <w:r w:rsidRPr="009543EA">
              <w:t xml:space="preserve">Витрати суб’єкта, що надає  соціальну послугу, комунального сектору будуть компенсовані за рахунок коштів місцевих бюджетів.  </w:t>
            </w:r>
          </w:p>
          <w:p w:rsidR="00FB26E9" w:rsidRPr="009543EA" w:rsidRDefault="00826043">
            <w:pPr>
              <w:jc w:val="both"/>
            </w:pPr>
            <w:r w:rsidRPr="009543EA">
              <w:t xml:space="preserve">Витрати суб’єкта, що надає  соціальну послугу, недержавного сектору можуть бути компенсовані за рахунок коштів місцевих бюджетів за рішенням органів місцевого самоврядування (здійснення публічних закупівель, соціального замовлення соціальних послуг, конкурсу соціальних проектів) та ін. </w:t>
            </w:r>
          </w:p>
          <w:p w:rsidR="00FB26E9" w:rsidRPr="009543EA" w:rsidRDefault="009543EA" w:rsidP="0031280C">
            <w:pPr>
              <w:jc w:val="both"/>
            </w:pPr>
            <w:r>
              <w:t>Прямі в</w:t>
            </w:r>
            <w:r w:rsidR="00826043" w:rsidRPr="009543EA">
              <w:t>итрати одного суб’єкта, що надає  соціальну послугу, на надання однієї такої послуги одному надавачу, розрахунково</w:t>
            </w:r>
            <w:r w:rsidR="003705FD">
              <w:t xml:space="preserve"> із залученням ерготерапевта</w:t>
            </w:r>
            <w:r w:rsidR="00826043" w:rsidRPr="009543EA">
              <w:t xml:space="preserve">, становлять </w:t>
            </w:r>
            <w:r w:rsidR="003705FD">
              <w:t>11 878,49</w:t>
            </w:r>
            <w:r w:rsidR="00826043" w:rsidRPr="009543EA">
              <w:t xml:space="preserve"> грн </w:t>
            </w:r>
            <w:r w:rsidR="00231814">
              <w:t>в місяць / за одного отримувача</w:t>
            </w:r>
            <w:r w:rsidR="003705FD">
              <w:t>.</w:t>
            </w:r>
            <w:r w:rsidR="0031280C">
              <w:t xml:space="preserve"> Соціальна послуга надається одноразово або тимчасово відповідно до потреб отримувача такої соціальної послуги.</w:t>
            </w:r>
          </w:p>
        </w:tc>
      </w:tr>
      <w:tr w:rsidR="00FB26E9">
        <w:tc>
          <w:tcPr>
            <w:tcW w:w="2687" w:type="dxa"/>
            <w:tcBorders>
              <w:top w:val="single" w:sz="6" w:space="0" w:color="000000"/>
              <w:left w:val="single" w:sz="6" w:space="0" w:color="000000"/>
              <w:bottom w:val="single" w:sz="6" w:space="0" w:color="000000"/>
              <w:right w:val="single" w:sz="6" w:space="0" w:color="000000"/>
            </w:tcBorders>
          </w:tcPr>
          <w:p w:rsidR="00FB26E9" w:rsidRDefault="00826043">
            <w:pPr>
              <w:jc w:val="both"/>
            </w:pPr>
            <w:r>
              <w:lastRenderedPageBreak/>
              <w:t xml:space="preserve">Альтернатива 2 </w:t>
            </w:r>
          </w:p>
          <w:p w:rsidR="00FB26E9" w:rsidRDefault="00826043">
            <w:pPr>
              <w:jc w:val="both"/>
            </w:pPr>
            <w:r>
              <w:t>Не затверджувати</w:t>
            </w:r>
          </w:p>
          <w:p w:rsidR="00FB26E9" w:rsidRDefault="00826043" w:rsidP="0031280C">
            <w:pPr>
              <w:jc w:val="both"/>
            </w:pPr>
            <w:r>
              <w:t xml:space="preserve">Державний стандарт соціальної послуги </w:t>
            </w:r>
            <w:r w:rsidR="0031280C">
              <w:t>консультування з пристосування житлових приміщень.</w:t>
            </w:r>
          </w:p>
        </w:tc>
        <w:tc>
          <w:tcPr>
            <w:tcW w:w="3858" w:type="dxa"/>
            <w:gridSpan w:val="4"/>
            <w:tcBorders>
              <w:top w:val="single" w:sz="6" w:space="0" w:color="000000"/>
              <w:left w:val="single" w:sz="6" w:space="0" w:color="000000"/>
              <w:bottom w:val="single" w:sz="6" w:space="0" w:color="000000"/>
              <w:right w:val="single" w:sz="6" w:space="0" w:color="000000"/>
            </w:tcBorders>
          </w:tcPr>
          <w:p w:rsidR="00FB26E9" w:rsidRPr="009543EA" w:rsidRDefault="00826043" w:rsidP="0031280C">
            <w:pPr>
              <w:jc w:val="both"/>
            </w:pPr>
            <w:r w:rsidRPr="009543EA">
              <w:t>Відсутні, оскільки буде відсутнє нормативно-правове регулювання надання соціальної послуги, відсутня можливість підтвердження якості її надання та забезпечення дотримання прав людини, включитися до Реєстру надавачів та отримувачів соціальних послуг і отримати фінансову підтрим</w:t>
            </w:r>
            <w:r w:rsidR="0031280C">
              <w:t>ку від місцевих органів влади.</w:t>
            </w:r>
          </w:p>
        </w:tc>
        <w:tc>
          <w:tcPr>
            <w:tcW w:w="3077" w:type="dxa"/>
            <w:gridSpan w:val="3"/>
            <w:tcBorders>
              <w:top w:val="single" w:sz="6" w:space="0" w:color="000000"/>
              <w:left w:val="single" w:sz="6" w:space="0" w:color="000000"/>
              <w:bottom w:val="single" w:sz="6" w:space="0" w:color="000000"/>
              <w:right w:val="single" w:sz="6" w:space="0" w:color="000000"/>
            </w:tcBorders>
            <w:shd w:val="clear" w:color="auto" w:fill="auto"/>
          </w:tcPr>
          <w:p w:rsidR="00FB26E9" w:rsidRPr="009543EA" w:rsidRDefault="00826043">
            <w:pPr>
              <w:jc w:val="both"/>
            </w:pPr>
            <w:r w:rsidRPr="009543EA">
              <w:t>Витрати суб’єкта, що надає  соціальну послугу, недержавного сектору не зможуть бути  компенсовані за рахунок коштів місцевих бюджетів, оскільки вони не зможуть бути надавачами соціальних послуг та брати участь у публічних закупівля, соціальному замовленні та ін. </w:t>
            </w:r>
          </w:p>
          <w:p w:rsidR="00FB26E9" w:rsidRPr="009543EA" w:rsidRDefault="00667C9B">
            <w:pPr>
              <w:jc w:val="both"/>
            </w:pPr>
            <w:r w:rsidRPr="009543EA">
              <w:t>У разі відсутності акту надавачі соціальних послуг не матимуть змог</w:t>
            </w:r>
            <w:r w:rsidR="00010840" w:rsidRPr="009543EA">
              <w:t>и провести моніторинг та</w:t>
            </w:r>
            <w:r w:rsidRPr="009543EA">
              <w:t xml:space="preserve"> внутрішн</w:t>
            </w:r>
            <w:r w:rsidR="00010840" w:rsidRPr="009543EA">
              <w:t>ю</w:t>
            </w:r>
            <w:r w:rsidRPr="009543EA">
              <w:t xml:space="preserve"> оцінк</w:t>
            </w:r>
            <w:r w:rsidR="00010840" w:rsidRPr="009543EA">
              <w:t>у</w:t>
            </w:r>
            <w:r w:rsidRPr="009543EA">
              <w:t xml:space="preserve"> якості надання соціальної послуги та підтвердження достатнього рівня надання соціальних послуг.</w:t>
            </w:r>
          </w:p>
        </w:tc>
      </w:tr>
    </w:tbl>
    <w:p w:rsidR="00FB26E9" w:rsidRDefault="00FB26E9">
      <w:pPr>
        <w:rPr>
          <w:b/>
          <w:sz w:val="28"/>
          <w:szCs w:val="28"/>
        </w:rPr>
      </w:pPr>
    </w:p>
    <w:p w:rsidR="00FB26E9" w:rsidRDefault="00826043">
      <w:pPr>
        <w:rPr>
          <w:sz w:val="28"/>
          <w:szCs w:val="28"/>
        </w:rPr>
      </w:pPr>
      <w:r>
        <w:rPr>
          <w:b/>
          <w:sz w:val="28"/>
          <w:szCs w:val="28"/>
        </w:rPr>
        <w:t>ІV. Вибір найбільш оптимального альтернативного способу досягнення цілей</w:t>
      </w:r>
      <w:r>
        <w:rPr>
          <w:sz w:val="28"/>
          <w:szCs w:val="28"/>
        </w:rPr>
        <w:t xml:space="preserve">  </w:t>
      </w:r>
    </w:p>
    <w:p w:rsidR="00FB26E9" w:rsidRDefault="00FB26E9">
      <w:pPr>
        <w:rPr>
          <w:sz w:val="28"/>
          <w:szCs w:val="28"/>
        </w:rPr>
      </w:pPr>
    </w:p>
    <w:p w:rsidR="00FB26E9" w:rsidRDefault="00826043">
      <w:pPr>
        <w:rPr>
          <w:sz w:val="12"/>
          <w:szCs w:val="12"/>
        </w:rPr>
      </w:pPr>
      <w:r>
        <w:t xml:space="preserve"> </w:t>
      </w:r>
    </w:p>
    <w:tbl>
      <w:tblPr>
        <w:tblStyle w:val="aa"/>
        <w:tblW w:w="962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31"/>
        <w:gridCol w:w="2217"/>
        <w:gridCol w:w="5175"/>
      </w:tblGrid>
      <w:tr w:rsidR="00FB26E9">
        <w:tc>
          <w:tcPr>
            <w:tcW w:w="2231" w:type="dxa"/>
            <w:tcBorders>
              <w:top w:val="single" w:sz="6" w:space="0" w:color="000000"/>
              <w:left w:val="single" w:sz="6" w:space="0" w:color="000000"/>
              <w:bottom w:val="single" w:sz="6" w:space="0" w:color="000000"/>
              <w:right w:val="single" w:sz="6" w:space="0" w:color="000000"/>
            </w:tcBorders>
            <w:vAlign w:val="center"/>
          </w:tcPr>
          <w:p w:rsidR="00FB26E9" w:rsidRDefault="00826043">
            <w:r>
              <w:t>Рейтинг результативності (досягнення цілей під час вирішення проблеми)</w:t>
            </w:r>
          </w:p>
        </w:tc>
        <w:tc>
          <w:tcPr>
            <w:tcW w:w="2217" w:type="dxa"/>
            <w:tcBorders>
              <w:top w:val="single" w:sz="6" w:space="0" w:color="000000"/>
              <w:left w:val="single" w:sz="6" w:space="0" w:color="000000"/>
              <w:bottom w:val="single" w:sz="6" w:space="0" w:color="000000"/>
              <w:right w:val="single" w:sz="6" w:space="0" w:color="000000"/>
            </w:tcBorders>
            <w:vAlign w:val="center"/>
          </w:tcPr>
          <w:p w:rsidR="00FB26E9" w:rsidRDefault="00826043">
            <w:r>
              <w:t>Бал результативності (за чотирибальною системою оцінки)</w:t>
            </w:r>
          </w:p>
        </w:tc>
        <w:tc>
          <w:tcPr>
            <w:tcW w:w="5175" w:type="dxa"/>
            <w:tcBorders>
              <w:top w:val="single" w:sz="6" w:space="0" w:color="000000"/>
              <w:left w:val="single" w:sz="6" w:space="0" w:color="000000"/>
              <w:bottom w:val="single" w:sz="6" w:space="0" w:color="000000"/>
              <w:right w:val="single" w:sz="6" w:space="0" w:color="000000"/>
            </w:tcBorders>
            <w:vAlign w:val="center"/>
          </w:tcPr>
          <w:p w:rsidR="00FB26E9" w:rsidRDefault="00826043">
            <w:r>
              <w:t>Коментарі щодо присвоєння відповідного бала</w:t>
            </w:r>
          </w:p>
        </w:tc>
      </w:tr>
      <w:tr w:rsidR="00FB26E9">
        <w:tc>
          <w:tcPr>
            <w:tcW w:w="2231"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1</w:t>
            </w:r>
          </w:p>
          <w:p w:rsidR="00FB26E9" w:rsidRDefault="00826043">
            <w:pPr>
              <w:jc w:val="both"/>
            </w:pPr>
            <w:r>
              <w:t xml:space="preserve">Затвердження Державного стандарту соціальної послуги </w:t>
            </w:r>
            <w:r w:rsidR="00493020">
              <w:t>консультування з пристосування житлових приміщень</w:t>
            </w:r>
            <w:r>
              <w:t>.</w:t>
            </w:r>
          </w:p>
          <w:p w:rsidR="00FB26E9" w:rsidRDefault="00FB26E9">
            <w:pPr>
              <w:jc w:val="both"/>
            </w:pPr>
          </w:p>
        </w:tc>
        <w:tc>
          <w:tcPr>
            <w:tcW w:w="2217" w:type="dxa"/>
            <w:tcBorders>
              <w:top w:val="single" w:sz="6" w:space="0" w:color="000000"/>
              <w:left w:val="single" w:sz="6" w:space="0" w:color="000000"/>
              <w:bottom w:val="single" w:sz="6" w:space="0" w:color="000000"/>
              <w:right w:val="single" w:sz="6" w:space="0" w:color="000000"/>
            </w:tcBorders>
          </w:tcPr>
          <w:p w:rsidR="00FB26E9" w:rsidRDefault="00826043">
            <w:pPr>
              <w:jc w:val="center"/>
            </w:pPr>
            <w:r>
              <w:t>4</w:t>
            </w:r>
          </w:p>
        </w:tc>
        <w:tc>
          <w:tcPr>
            <w:tcW w:w="5175"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 xml:space="preserve">Така альтернатива є найбільш прийнятним та ефективним способом, який дозволить досягти мети державного регулювання, визначеної у пункті 2 цього аналізу регуляторного впливу. </w:t>
            </w:r>
          </w:p>
          <w:p w:rsidR="00FB26E9" w:rsidRDefault="00826043">
            <w:pPr>
              <w:jc w:val="both"/>
            </w:pPr>
            <w:r>
              <w:t xml:space="preserve">Затвердження Державного стандарту соціальної послуги </w:t>
            </w:r>
            <w:r w:rsidR="00493020">
              <w:t>консультування з пристосування житлових приміщень</w:t>
            </w:r>
            <w:r>
              <w:t xml:space="preserve"> визначить зміст та обсяг, норми і нормативи, умови та порядок надання соціальної послуги; дасть можливість суб’єктам, що надають соціальну послугу, працювати в законодавчому полі, бути включеними до Реєстру надавачів та отримувачів соціальних послуг, отримати фінансування за рахунок коштів місцевих бюджетів; забезпечити відкритість та належну якість цієї послуги для громадян.</w:t>
            </w:r>
          </w:p>
        </w:tc>
      </w:tr>
      <w:tr w:rsidR="00FB26E9">
        <w:tc>
          <w:tcPr>
            <w:tcW w:w="2231"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2</w:t>
            </w:r>
          </w:p>
          <w:p w:rsidR="00FB26E9" w:rsidRDefault="00826043">
            <w:pPr>
              <w:jc w:val="both"/>
            </w:pPr>
            <w:r>
              <w:t xml:space="preserve">Не затверджувати Державний стандарт соціальної послуги </w:t>
            </w:r>
            <w:r w:rsidR="003C3462">
              <w:lastRenderedPageBreak/>
              <w:t>консультування з пристосування житлових приміщень</w:t>
            </w:r>
            <w:r>
              <w:t>.</w:t>
            </w:r>
          </w:p>
        </w:tc>
        <w:tc>
          <w:tcPr>
            <w:tcW w:w="2217" w:type="dxa"/>
            <w:tcBorders>
              <w:top w:val="single" w:sz="6" w:space="0" w:color="000000"/>
              <w:left w:val="single" w:sz="6" w:space="0" w:color="000000"/>
              <w:bottom w:val="single" w:sz="6" w:space="0" w:color="000000"/>
              <w:right w:val="single" w:sz="6" w:space="0" w:color="000000"/>
            </w:tcBorders>
          </w:tcPr>
          <w:p w:rsidR="00FB26E9" w:rsidRDefault="00826043">
            <w:pPr>
              <w:jc w:val="center"/>
            </w:pPr>
            <w:r>
              <w:lastRenderedPageBreak/>
              <w:t>1</w:t>
            </w:r>
          </w:p>
        </w:tc>
        <w:tc>
          <w:tcPr>
            <w:tcW w:w="5175" w:type="dxa"/>
            <w:tcBorders>
              <w:top w:val="single" w:sz="6" w:space="0" w:color="000000"/>
              <w:left w:val="single" w:sz="6" w:space="0" w:color="000000"/>
              <w:bottom w:val="single" w:sz="6" w:space="0" w:color="000000"/>
              <w:right w:val="single" w:sz="6" w:space="0" w:color="000000"/>
            </w:tcBorders>
          </w:tcPr>
          <w:p w:rsidR="00FB26E9" w:rsidRDefault="00826043">
            <w:pPr>
              <w:spacing w:after="160" w:line="259" w:lineRule="auto"/>
              <w:jc w:val="both"/>
            </w:pPr>
            <w:r>
              <w:t xml:space="preserve">Така альтернатива досягнення цілей державного регулювання суперечить актам вищої юридичної сили, оскільки статтею 17 Закону України „Про соціальні послугиˮ визначено, що соціальні послуги надаються надавачами </w:t>
            </w:r>
            <w:r>
              <w:lastRenderedPageBreak/>
              <w:t xml:space="preserve">соціальних послуг державного, комунального, недержавного секторів незалежно від джерел фінансування відповідно до державних стандартів соціальних послуг. </w:t>
            </w:r>
          </w:p>
        </w:tc>
      </w:tr>
    </w:tbl>
    <w:p w:rsidR="00FB26E9" w:rsidRDefault="00FB26E9">
      <w:pPr>
        <w:widowControl w:val="0"/>
        <w:pBdr>
          <w:top w:val="nil"/>
          <w:left w:val="nil"/>
          <w:bottom w:val="nil"/>
          <w:right w:val="nil"/>
          <w:between w:val="nil"/>
        </w:pBdr>
        <w:spacing w:line="276" w:lineRule="auto"/>
      </w:pPr>
    </w:p>
    <w:tbl>
      <w:tblPr>
        <w:tblStyle w:val="ab"/>
        <w:tblW w:w="962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77"/>
        <w:gridCol w:w="2126"/>
        <w:gridCol w:w="2126"/>
        <w:gridCol w:w="3394"/>
      </w:tblGrid>
      <w:tr w:rsidR="00FB26E9" w:rsidTr="00231814">
        <w:tc>
          <w:tcPr>
            <w:tcW w:w="1977" w:type="dxa"/>
            <w:tcBorders>
              <w:top w:val="single" w:sz="6" w:space="0" w:color="000000"/>
              <w:left w:val="single" w:sz="6" w:space="0" w:color="000000"/>
              <w:bottom w:val="single" w:sz="6" w:space="0" w:color="000000"/>
              <w:right w:val="single" w:sz="6" w:space="0" w:color="000000"/>
            </w:tcBorders>
            <w:vAlign w:val="center"/>
          </w:tcPr>
          <w:p w:rsidR="00FB26E9" w:rsidRDefault="00826043">
            <w:r>
              <w:t>Рейтинг результативності</w:t>
            </w:r>
          </w:p>
        </w:tc>
        <w:tc>
          <w:tcPr>
            <w:tcW w:w="2126" w:type="dxa"/>
            <w:tcBorders>
              <w:top w:val="single" w:sz="6" w:space="0" w:color="000000"/>
              <w:left w:val="single" w:sz="6" w:space="0" w:color="000000"/>
              <w:bottom w:val="single" w:sz="6" w:space="0" w:color="000000"/>
              <w:right w:val="single" w:sz="6" w:space="0" w:color="000000"/>
            </w:tcBorders>
            <w:vAlign w:val="center"/>
          </w:tcPr>
          <w:p w:rsidR="00FB26E9" w:rsidRDefault="00826043">
            <w:r>
              <w:t>Вигоди (підсумок)</w:t>
            </w:r>
          </w:p>
        </w:tc>
        <w:tc>
          <w:tcPr>
            <w:tcW w:w="2126" w:type="dxa"/>
            <w:tcBorders>
              <w:top w:val="single" w:sz="6" w:space="0" w:color="000000"/>
              <w:left w:val="single" w:sz="6" w:space="0" w:color="000000"/>
              <w:bottom w:val="single" w:sz="6" w:space="0" w:color="000000"/>
              <w:right w:val="single" w:sz="6" w:space="0" w:color="000000"/>
            </w:tcBorders>
            <w:vAlign w:val="center"/>
          </w:tcPr>
          <w:p w:rsidR="00FB26E9" w:rsidRDefault="00826043">
            <w:r>
              <w:t>Витрати (підсумок)</w:t>
            </w:r>
          </w:p>
        </w:tc>
        <w:tc>
          <w:tcPr>
            <w:tcW w:w="3394" w:type="dxa"/>
            <w:tcBorders>
              <w:top w:val="single" w:sz="6" w:space="0" w:color="000000"/>
              <w:left w:val="single" w:sz="6" w:space="0" w:color="000000"/>
              <w:bottom w:val="single" w:sz="6" w:space="0" w:color="000000"/>
              <w:right w:val="single" w:sz="6" w:space="0" w:color="000000"/>
            </w:tcBorders>
            <w:vAlign w:val="center"/>
          </w:tcPr>
          <w:p w:rsidR="00FB26E9" w:rsidRDefault="00826043">
            <w:r>
              <w:t>Обґрунтування відповідного місця альтернативи у рейтингу</w:t>
            </w:r>
          </w:p>
        </w:tc>
      </w:tr>
      <w:tr w:rsidR="00FB26E9" w:rsidTr="00231814">
        <w:trPr>
          <w:trHeight w:val="51"/>
        </w:trPr>
        <w:tc>
          <w:tcPr>
            <w:tcW w:w="1977" w:type="dxa"/>
            <w:tcBorders>
              <w:top w:val="single" w:sz="6" w:space="0" w:color="000000"/>
              <w:left w:val="single" w:sz="6" w:space="0" w:color="000000"/>
              <w:bottom w:val="single" w:sz="6" w:space="0" w:color="000000"/>
              <w:right w:val="single" w:sz="6" w:space="0" w:color="000000"/>
            </w:tcBorders>
            <w:vAlign w:val="center"/>
          </w:tcPr>
          <w:p w:rsidR="00FB26E9" w:rsidRDefault="00FB26E9"/>
        </w:tc>
        <w:tc>
          <w:tcPr>
            <w:tcW w:w="2126" w:type="dxa"/>
            <w:tcBorders>
              <w:top w:val="single" w:sz="6" w:space="0" w:color="000000"/>
              <w:left w:val="single" w:sz="6" w:space="0" w:color="000000"/>
              <w:bottom w:val="single" w:sz="6" w:space="0" w:color="000000"/>
              <w:right w:val="single" w:sz="6" w:space="0" w:color="000000"/>
            </w:tcBorders>
            <w:vAlign w:val="center"/>
          </w:tcPr>
          <w:p w:rsidR="00FB26E9" w:rsidRDefault="00FB26E9"/>
        </w:tc>
        <w:tc>
          <w:tcPr>
            <w:tcW w:w="2126" w:type="dxa"/>
            <w:tcBorders>
              <w:top w:val="single" w:sz="6" w:space="0" w:color="000000"/>
              <w:left w:val="single" w:sz="6" w:space="0" w:color="000000"/>
              <w:bottom w:val="single" w:sz="6" w:space="0" w:color="000000"/>
              <w:right w:val="single" w:sz="6" w:space="0" w:color="000000"/>
            </w:tcBorders>
            <w:vAlign w:val="center"/>
          </w:tcPr>
          <w:p w:rsidR="00FB26E9" w:rsidRDefault="00FB26E9"/>
        </w:tc>
        <w:tc>
          <w:tcPr>
            <w:tcW w:w="3394" w:type="dxa"/>
            <w:tcBorders>
              <w:top w:val="single" w:sz="6" w:space="0" w:color="000000"/>
              <w:left w:val="single" w:sz="6" w:space="0" w:color="000000"/>
              <w:bottom w:val="single" w:sz="6" w:space="0" w:color="000000"/>
              <w:right w:val="single" w:sz="6" w:space="0" w:color="000000"/>
            </w:tcBorders>
            <w:vAlign w:val="center"/>
          </w:tcPr>
          <w:p w:rsidR="00FB26E9" w:rsidRDefault="00FB26E9"/>
        </w:tc>
      </w:tr>
      <w:tr w:rsidR="00FB26E9" w:rsidTr="00231814">
        <w:tc>
          <w:tcPr>
            <w:tcW w:w="1977"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1</w:t>
            </w:r>
          </w:p>
          <w:p w:rsidR="00FB26E9" w:rsidRDefault="00826043">
            <w:pPr>
              <w:jc w:val="both"/>
            </w:pPr>
            <w:r>
              <w:t xml:space="preserve">Затвердження Державного стандарту соціальної послуги </w:t>
            </w:r>
            <w:r w:rsidR="0057056A">
              <w:t>консультування з пристосування житлових приміщень</w:t>
            </w:r>
            <w:r>
              <w:t>.</w:t>
            </w:r>
          </w:p>
          <w:p w:rsidR="00FB26E9" w:rsidRDefault="00FB26E9">
            <w:pPr>
              <w:jc w:val="both"/>
            </w:pPr>
          </w:p>
          <w:p w:rsidR="00FB26E9" w:rsidRDefault="00FB26E9">
            <w:pPr>
              <w:jc w:val="both"/>
            </w:pPr>
          </w:p>
        </w:tc>
        <w:tc>
          <w:tcPr>
            <w:tcW w:w="2126"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Для держави: В цілому – наявні неопосередковані вигоди через покращення якості  соціальних послуг та їх доступності для отримувачів, чітке законодавче регулювання діяльності надавачів, уникнення правових колізій, створення правових умов для розвитку ринку соціальних послуг.</w:t>
            </w:r>
          </w:p>
          <w:p w:rsidR="00FB26E9" w:rsidRDefault="00FB26E9">
            <w:pPr>
              <w:jc w:val="both"/>
            </w:pPr>
          </w:p>
          <w:p w:rsidR="00FB26E9" w:rsidRDefault="00826043">
            <w:pPr>
              <w:jc w:val="both"/>
            </w:pPr>
            <w:r>
              <w:t xml:space="preserve">Для суб’єктів господарювання: </w:t>
            </w:r>
          </w:p>
          <w:p w:rsidR="00FB26E9" w:rsidRDefault="00826043">
            <w:pPr>
              <w:jc w:val="both"/>
            </w:pPr>
            <w:r>
              <w:t xml:space="preserve">Чітке нормативно-правове регулювання діяльності надавачів, можливість отримання коштів за надані ними соціальні послуги. </w:t>
            </w:r>
          </w:p>
          <w:p w:rsidR="00FB26E9" w:rsidRDefault="00FB26E9">
            <w:pPr>
              <w:jc w:val="both"/>
            </w:pPr>
          </w:p>
        </w:tc>
        <w:tc>
          <w:tcPr>
            <w:tcW w:w="2126"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Витрати суб’єкта господарювання на надання соціальних послуг будуть компенсовані за рахунок бюджетних коштів (для надавачів комунального сектору), можуть бути компенсовані за рахунок коштів місцевого бюджету (для надавачів недержавного сектору).</w:t>
            </w:r>
          </w:p>
          <w:p w:rsidR="00FB26E9" w:rsidRDefault="00826043">
            <w:pPr>
              <w:jc w:val="both"/>
            </w:pPr>
            <w:r>
              <w:t xml:space="preserve">Витрати одного суб’єкта, що надає  соціальну послугу, на надання однієї такої послуги одному надавачу, розрахунково, становлять             </w:t>
            </w:r>
          </w:p>
          <w:p w:rsidR="00FB26E9" w:rsidRDefault="00231814" w:rsidP="00231814">
            <w:r>
              <w:t>11 878,49</w:t>
            </w:r>
            <w:r w:rsidRPr="009543EA">
              <w:t xml:space="preserve"> грн </w:t>
            </w:r>
            <w:r>
              <w:t>в місяць / за одного отримувача, соціальна послуга надається одноразово або тимчасово, залежно від індивідуальних потреб отримувача соціальної послуги.</w:t>
            </w:r>
          </w:p>
        </w:tc>
        <w:tc>
          <w:tcPr>
            <w:tcW w:w="3394"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 xml:space="preserve">Є найбільш оптимальною серед запропонованих альтернатив, оскільки дає змогу повністю досягнути поставлених цілей державного регулювання та відповідатиме вимогам діючого законодавства. </w:t>
            </w:r>
          </w:p>
          <w:p w:rsidR="00FB26E9" w:rsidRDefault="00FB26E9">
            <w:pPr>
              <w:jc w:val="both"/>
            </w:pPr>
          </w:p>
          <w:p w:rsidR="00FB26E9" w:rsidRDefault="00FB26E9">
            <w:pPr>
              <w:jc w:val="both"/>
            </w:pPr>
          </w:p>
          <w:p w:rsidR="00FB26E9" w:rsidRDefault="00FB26E9">
            <w:pPr>
              <w:jc w:val="both"/>
            </w:pPr>
          </w:p>
          <w:p w:rsidR="00FB26E9" w:rsidRDefault="00FB26E9">
            <w:pPr>
              <w:jc w:val="both"/>
            </w:pPr>
          </w:p>
        </w:tc>
      </w:tr>
      <w:tr w:rsidR="00FB26E9" w:rsidTr="00231814">
        <w:tc>
          <w:tcPr>
            <w:tcW w:w="1977" w:type="dxa"/>
            <w:tcBorders>
              <w:top w:val="single" w:sz="6" w:space="0" w:color="000000"/>
              <w:left w:val="single" w:sz="6" w:space="0" w:color="000000"/>
              <w:bottom w:val="single" w:sz="6" w:space="0" w:color="000000"/>
              <w:right w:val="single" w:sz="6" w:space="0" w:color="000000"/>
            </w:tcBorders>
          </w:tcPr>
          <w:p w:rsidR="00FB26E9" w:rsidRDefault="00826043">
            <w:pPr>
              <w:jc w:val="both"/>
            </w:pPr>
            <w:r>
              <w:lastRenderedPageBreak/>
              <w:t xml:space="preserve">Альтернатива 2 Не затверджувати Державного стандарту соціальної послуги </w:t>
            </w:r>
            <w:r w:rsidR="00231814">
              <w:t>консультування з пристосування житлових приміщень</w:t>
            </w:r>
          </w:p>
          <w:p w:rsidR="00FB26E9" w:rsidRDefault="00FB26E9"/>
        </w:tc>
        <w:tc>
          <w:tcPr>
            <w:tcW w:w="2126" w:type="dxa"/>
            <w:tcBorders>
              <w:top w:val="single" w:sz="6" w:space="0" w:color="000000"/>
              <w:left w:val="single" w:sz="6" w:space="0" w:color="000000"/>
              <w:bottom w:val="single" w:sz="6" w:space="0" w:color="000000"/>
              <w:right w:val="single" w:sz="6" w:space="0" w:color="000000"/>
            </w:tcBorders>
          </w:tcPr>
          <w:p w:rsidR="00FB26E9" w:rsidRDefault="00826043">
            <w:r>
              <w:t xml:space="preserve">Для держави: </w:t>
            </w:r>
          </w:p>
          <w:p w:rsidR="00FB26E9" w:rsidRDefault="00826043">
            <w:r>
              <w:t xml:space="preserve">Відсутні, оскільки не буде забезпечено виконання Закону України „Про соціальні послугиˮ, зокрема статті 17. </w:t>
            </w:r>
          </w:p>
          <w:p w:rsidR="00FB26E9" w:rsidRDefault="00FB26E9"/>
          <w:p w:rsidR="00FB26E9" w:rsidRDefault="00FB26E9"/>
          <w:p w:rsidR="00FB26E9" w:rsidRDefault="00FB26E9"/>
          <w:p w:rsidR="00FB26E9" w:rsidRDefault="00826043">
            <w:r>
              <w:rPr>
                <w:b/>
              </w:rPr>
              <w:t>Для суб’єктів господарювання:</w:t>
            </w:r>
            <w:r>
              <w:t xml:space="preserve"> Відсутні, оскільки діяльність надавачів соціальних послуг буде суперечити нормам Закону України „Про соціальні послугиˮ.    </w:t>
            </w:r>
          </w:p>
        </w:tc>
        <w:tc>
          <w:tcPr>
            <w:tcW w:w="2126" w:type="dxa"/>
            <w:tcBorders>
              <w:top w:val="single" w:sz="6" w:space="0" w:color="000000"/>
              <w:left w:val="single" w:sz="6" w:space="0" w:color="000000"/>
              <w:bottom w:val="single" w:sz="6" w:space="0" w:color="000000"/>
              <w:right w:val="single" w:sz="6" w:space="0" w:color="000000"/>
            </w:tcBorders>
          </w:tcPr>
          <w:p w:rsidR="00FB26E9" w:rsidRDefault="00826043">
            <w:r>
              <w:rPr>
                <w:b/>
              </w:rPr>
              <w:t>Для держави:</w:t>
            </w:r>
            <w:r>
              <w:t xml:space="preserve"> Витрати залишаться на існуючому рівні</w:t>
            </w:r>
          </w:p>
          <w:p w:rsidR="00FB26E9" w:rsidRDefault="00FB26E9"/>
          <w:p w:rsidR="00FB26E9" w:rsidRDefault="00826043">
            <w:r>
              <w:rPr>
                <w:b/>
              </w:rPr>
              <w:t>Для суб’єктів господарювання:</w:t>
            </w:r>
            <w:r>
              <w:t xml:space="preserve"> Витрати залишаться на існуючому рівні. </w:t>
            </w:r>
          </w:p>
        </w:tc>
        <w:tc>
          <w:tcPr>
            <w:tcW w:w="3394"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Є найгіршою з альтернатив, оскільки не дає змоги досягнути поставлених цілей державного регулювання та не відповідатиме вимогам діючого законодавства.</w:t>
            </w:r>
          </w:p>
        </w:tc>
      </w:tr>
    </w:tbl>
    <w:p w:rsidR="00FB26E9" w:rsidRDefault="00826043">
      <w:r>
        <w:t xml:space="preserve"> </w:t>
      </w:r>
    </w:p>
    <w:tbl>
      <w:tblPr>
        <w:tblStyle w:val="ac"/>
        <w:tblW w:w="962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75"/>
        <w:gridCol w:w="4709"/>
        <w:gridCol w:w="2539"/>
      </w:tblGrid>
      <w:tr w:rsidR="00FB26E9">
        <w:tc>
          <w:tcPr>
            <w:tcW w:w="2375" w:type="dxa"/>
            <w:tcBorders>
              <w:top w:val="single" w:sz="6" w:space="0" w:color="000000"/>
              <w:left w:val="single" w:sz="6" w:space="0" w:color="000000"/>
              <w:bottom w:val="single" w:sz="6" w:space="0" w:color="000000"/>
              <w:right w:val="single" w:sz="6" w:space="0" w:color="000000"/>
            </w:tcBorders>
            <w:vAlign w:val="center"/>
          </w:tcPr>
          <w:p w:rsidR="00FB26E9" w:rsidRDefault="00826043">
            <w:pPr>
              <w:jc w:val="center"/>
            </w:pPr>
            <w:r>
              <w:t>Рейтинг</w:t>
            </w:r>
          </w:p>
        </w:tc>
        <w:tc>
          <w:tcPr>
            <w:tcW w:w="4709" w:type="dxa"/>
            <w:tcBorders>
              <w:top w:val="single" w:sz="6" w:space="0" w:color="000000"/>
              <w:left w:val="single" w:sz="6" w:space="0" w:color="000000"/>
              <w:bottom w:val="single" w:sz="6" w:space="0" w:color="000000"/>
              <w:right w:val="single" w:sz="6" w:space="0" w:color="000000"/>
            </w:tcBorders>
            <w:vAlign w:val="center"/>
          </w:tcPr>
          <w:p w:rsidR="00FB26E9" w:rsidRDefault="00826043">
            <w:pPr>
              <w:jc w:val="center"/>
            </w:pPr>
            <w:r>
              <w:t>Аргументи щодо переваги обраної альтернативи / причини відмови від альтернативи</w:t>
            </w:r>
          </w:p>
        </w:tc>
        <w:tc>
          <w:tcPr>
            <w:tcW w:w="2539" w:type="dxa"/>
            <w:tcBorders>
              <w:top w:val="single" w:sz="6" w:space="0" w:color="000000"/>
              <w:left w:val="single" w:sz="6" w:space="0" w:color="000000"/>
              <w:bottom w:val="single" w:sz="6" w:space="0" w:color="000000"/>
              <w:right w:val="single" w:sz="6" w:space="0" w:color="000000"/>
            </w:tcBorders>
            <w:vAlign w:val="center"/>
          </w:tcPr>
          <w:p w:rsidR="00FB26E9" w:rsidRDefault="00826043">
            <w:pPr>
              <w:jc w:val="center"/>
            </w:pPr>
            <w:r>
              <w:t>Оцінка ризику зовнішніх чинників на дію запропонованого регуляторного акта</w:t>
            </w:r>
          </w:p>
        </w:tc>
      </w:tr>
      <w:tr w:rsidR="00FB26E9">
        <w:tc>
          <w:tcPr>
            <w:tcW w:w="2375"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1</w:t>
            </w:r>
          </w:p>
          <w:p w:rsidR="00FB26E9" w:rsidRDefault="00826043">
            <w:pPr>
              <w:jc w:val="both"/>
            </w:pPr>
            <w:r>
              <w:t xml:space="preserve">Затвердження Державного стандарту соціальної послуги </w:t>
            </w:r>
            <w:r w:rsidR="00EA4C38">
              <w:t>консультування з пристосування житлових приміщень</w:t>
            </w:r>
          </w:p>
          <w:p w:rsidR="00FB26E9" w:rsidRDefault="00FB26E9">
            <w:pPr>
              <w:jc w:val="both"/>
            </w:pPr>
          </w:p>
        </w:tc>
        <w:tc>
          <w:tcPr>
            <w:tcW w:w="4709"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Причини для відмови відсутні, обрана альтернатива забезпечить виконання вимог Закону України „Про соціальні послугиˮ.</w:t>
            </w:r>
          </w:p>
        </w:tc>
        <w:tc>
          <w:tcPr>
            <w:tcW w:w="2539"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Відсутні.</w:t>
            </w:r>
          </w:p>
        </w:tc>
      </w:tr>
      <w:tr w:rsidR="00FB26E9">
        <w:tc>
          <w:tcPr>
            <w:tcW w:w="2375"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Альтернатива 2</w:t>
            </w:r>
          </w:p>
          <w:p w:rsidR="00FB26E9" w:rsidRDefault="00826043" w:rsidP="00583B35">
            <w:pPr>
              <w:jc w:val="both"/>
            </w:pPr>
            <w:r>
              <w:t>Не затверджувати Державн</w:t>
            </w:r>
            <w:r w:rsidR="00583B35">
              <w:t>ий</w:t>
            </w:r>
            <w:r>
              <w:t xml:space="preserve"> стандарт соціальної послуги соціальної </w:t>
            </w:r>
            <w:r w:rsidR="00EA4C38">
              <w:t>консультування з пристосування житлових приміщень</w:t>
            </w:r>
            <w:r>
              <w:t>.</w:t>
            </w:r>
          </w:p>
        </w:tc>
        <w:tc>
          <w:tcPr>
            <w:tcW w:w="4709"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Недоцільна, оскільки суперечить актам вищої юридичної сили, може призвести до неякісного надання соціальних послуг, порушень прав отримувачів та надавачів соціальних послуг, що не дає змоги досягнути поставлених цілей державного регулювання.</w:t>
            </w:r>
          </w:p>
        </w:tc>
        <w:tc>
          <w:tcPr>
            <w:tcW w:w="2539" w:type="dxa"/>
            <w:tcBorders>
              <w:top w:val="single" w:sz="6" w:space="0" w:color="000000"/>
              <w:left w:val="single" w:sz="6" w:space="0" w:color="000000"/>
              <w:bottom w:val="single" w:sz="6" w:space="0" w:color="000000"/>
              <w:right w:val="single" w:sz="6" w:space="0" w:color="000000"/>
            </w:tcBorders>
          </w:tcPr>
          <w:p w:rsidR="00FB26E9" w:rsidRDefault="00826043">
            <w:pPr>
              <w:jc w:val="both"/>
            </w:pPr>
            <w:r>
              <w:t>Відсутні.</w:t>
            </w:r>
          </w:p>
        </w:tc>
      </w:tr>
    </w:tbl>
    <w:p w:rsidR="007A727A" w:rsidRDefault="007A727A">
      <w:pPr>
        <w:spacing w:before="120"/>
        <w:ind w:firstLine="709"/>
        <w:jc w:val="both"/>
        <w:rPr>
          <w:b/>
          <w:sz w:val="28"/>
          <w:szCs w:val="28"/>
        </w:rPr>
      </w:pPr>
    </w:p>
    <w:p w:rsidR="00FB26E9" w:rsidRDefault="00826043">
      <w:pPr>
        <w:spacing w:before="120"/>
        <w:ind w:firstLine="709"/>
        <w:jc w:val="both"/>
        <w:rPr>
          <w:b/>
          <w:sz w:val="28"/>
          <w:szCs w:val="28"/>
        </w:rPr>
      </w:pPr>
      <w:r>
        <w:rPr>
          <w:b/>
          <w:sz w:val="28"/>
          <w:szCs w:val="28"/>
        </w:rPr>
        <w:t xml:space="preserve">V. Механізми та заходи, які забезпечать розв’язання визначеної проблеми </w:t>
      </w:r>
    </w:p>
    <w:p w:rsidR="00FB26E9" w:rsidRDefault="00FB26E9">
      <w:pPr>
        <w:spacing w:before="120"/>
        <w:ind w:firstLine="709"/>
        <w:jc w:val="both"/>
        <w:rPr>
          <w:sz w:val="28"/>
          <w:szCs w:val="28"/>
        </w:rPr>
      </w:pPr>
    </w:p>
    <w:p w:rsidR="00FB26E9" w:rsidRDefault="00826043">
      <w:pPr>
        <w:ind w:firstLine="708"/>
        <w:jc w:val="both"/>
        <w:rPr>
          <w:sz w:val="28"/>
          <w:szCs w:val="28"/>
        </w:rPr>
      </w:pPr>
      <w:r>
        <w:rPr>
          <w:sz w:val="28"/>
          <w:szCs w:val="28"/>
        </w:rPr>
        <w:lastRenderedPageBreak/>
        <w:t xml:space="preserve">Для розв’язання проблеми, визначеної у пункті 1 цього аналізу регуляторного впливу, передбачається затвердити Державний стандарт соціальної послуги </w:t>
      </w:r>
      <w:r w:rsidR="00F61EB5" w:rsidRPr="00F61EB5">
        <w:rPr>
          <w:sz w:val="28"/>
          <w:szCs w:val="28"/>
        </w:rPr>
        <w:t>консультування з пристосування житлових приміщень</w:t>
      </w:r>
      <w:r>
        <w:rPr>
          <w:sz w:val="28"/>
          <w:szCs w:val="28"/>
        </w:rPr>
        <w:t xml:space="preserve"> (далі</w:t>
      </w:r>
      <w:r w:rsidR="00583B35">
        <w:rPr>
          <w:sz w:val="28"/>
          <w:szCs w:val="28"/>
        </w:rPr>
        <w:t> </w:t>
      </w:r>
      <w:r>
        <w:rPr>
          <w:sz w:val="28"/>
          <w:szCs w:val="28"/>
        </w:rPr>
        <w:t>– Державний стандарт), яким визначити зміст та обсяг, норми і нормативи, умови та порядок надання соціальної послуги, показники її якості. Так, Державним стандартом пропонується, зокрема, визначити, основні завдання соціальної послуги</w:t>
      </w:r>
      <w:r>
        <w:rPr>
          <w:color w:val="333333"/>
          <w:sz w:val="28"/>
          <w:szCs w:val="28"/>
        </w:rPr>
        <w:t>,</w:t>
      </w:r>
      <w:r>
        <w:rPr>
          <w:sz w:val="28"/>
          <w:szCs w:val="28"/>
        </w:rPr>
        <w:t xml:space="preserve"> інструмент для оцінювання наданих послуги в межах соціальної послуги, основні заходи, що становлять зміст соціальної послуги, орієнтовний час для їх виконання та форми роботи, рекомендації щодо надання соціальної послуги.</w:t>
      </w:r>
    </w:p>
    <w:p w:rsidR="003B5FCE" w:rsidRPr="003B5FCE" w:rsidRDefault="003B5FCE" w:rsidP="003B5FCE">
      <w:pPr>
        <w:ind w:firstLine="708"/>
        <w:jc w:val="both"/>
        <w:rPr>
          <w:sz w:val="28"/>
          <w:szCs w:val="28"/>
        </w:rPr>
      </w:pPr>
      <w:r w:rsidRPr="003B5FCE">
        <w:rPr>
          <w:sz w:val="28"/>
          <w:szCs w:val="28"/>
        </w:rPr>
        <w:t>Відповідно до статті 17 Закону України ,,Про соціальні послуги” до повноважень районних, районних у містах Києві та Севастополі державних адміністрацій, виконавчих органів міських рад міст обласного значення, рад об’єднаних територіальних громад належать, зокрема, забезпечення за результатами оцінювання потреб особи/сім’ї надання базових соціальних послуг особам/сім’ям відповідно до їхніх потреб, вжиття заходів з надання інших соціальних послуг таким особам/сім’ям шляхом створення мережі надавачів соціальних послуг державного/комунального сектору та/або залучення надавачів соціальних послуг недержавного сектору.</w:t>
      </w:r>
    </w:p>
    <w:p w:rsidR="003B5FCE" w:rsidRDefault="003B5FCE" w:rsidP="003B5FCE">
      <w:pPr>
        <w:ind w:firstLine="708"/>
        <w:jc w:val="both"/>
        <w:rPr>
          <w:sz w:val="28"/>
          <w:szCs w:val="28"/>
        </w:rPr>
      </w:pPr>
      <w:r w:rsidRPr="003B5FCE">
        <w:rPr>
          <w:sz w:val="28"/>
          <w:szCs w:val="28"/>
        </w:rPr>
        <w:t xml:space="preserve">Чітке законодавче визначення  змісту та обсягу,  умов та порядку надання соціальної послуги </w:t>
      </w:r>
      <w:r w:rsidR="00F61EB5" w:rsidRPr="00F61EB5">
        <w:rPr>
          <w:sz w:val="28"/>
          <w:szCs w:val="28"/>
        </w:rPr>
        <w:t>консультування з пристосування житлових приміщень</w:t>
      </w:r>
      <w:r w:rsidRPr="00F61EB5">
        <w:rPr>
          <w:sz w:val="28"/>
          <w:szCs w:val="28"/>
        </w:rPr>
        <w:t xml:space="preserve"> надасть можливість</w:t>
      </w:r>
      <w:r w:rsidRPr="003B5FCE">
        <w:rPr>
          <w:sz w:val="28"/>
          <w:szCs w:val="28"/>
        </w:rPr>
        <w:t xml:space="preserve"> забезпечити організацію надання соціальної послуги, а також проведення моніторингу надання та оцінювання якості соціальної послуги, що покращить якісь надання соціальної послуги.</w:t>
      </w:r>
    </w:p>
    <w:p w:rsidR="003B5FCE" w:rsidRDefault="003B5FCE" w:rsidP="003B5FCE">
      <w:pPr>
        <w:ind w:firstLine="709"/>
        <w:jc w:val="both"/>
        <w:rPr>
          <w:sz w:val="28"/>
          <w:szCs w:val="28"/>
        </w:rPr>
      </w:pPr>
      <w:r>
        <w:rPr>
          <w:sz w:val="28"/>
          <w:szCs w:val="28"/>
        </w:rPr>
        <w:t>Для впровадження цього регуляторного акта необхідно забезпечити інформування громадськості про вимоги регуляторного акта шляхом його оприлюднення у засобах масової інформації та розміщенні на Урядовому порталі.</w:t>
      </w:r>
    </w:p>
    <w:p w:rsidR="003B5FCE" w:rsidRDefault="003B5FCE" w:rsidP="003B5FCE">
      <w:pPr>
        <w:ind w:firstLine="709"/>
        <w:jc w:val="both"/>
        <w:rPr>
          <w:sz w:val="28"/>
          <w:szCs w:val="28"/>
        </w:rPr>
      </w:pPr>
      <w:r>
        <w:rPr>
          <w:sz w:val="28"/>
          <w:szCs w:val="28"/>
        </w:rPr>
        <w:t>Реалізація регуляторного акта забезпечить вирішення визначених проблем, сприятиме залученню надавачів соціальних послуг до створення ефективної системи надання соціальних послуг, що відповідає потребам населення у цих послугах.</w:t>
      </w:r>
    </w:p>
    <w:p w:rsidR="00FB26E9" w:rsidRPr="009543EA" w:rsidRDefault="00826043" w:rsidP="00C042E8">
      <w:pPr>
        <w:pBdr>
          <w:top w:val="nil"/>
          <w:left w:val="nil"/>
          <w:bottom w:val="nil"/>
          <w:right w:val="nil"/>
          <w:between w:val="nil"/>
        </w:pBdr>
        <w:spacing w:line="276" w:lineRule="auto"/>
        <w:ind w:firstLine="567"/>
        <w:jc w:val="both"/>
        <w:rPr>
          <w:color w:val="000000"/>
          <w:sz w:val="28"/>
          <w:szCs w:val="28"/>
        </w:rPr>
      </w:pPr>
      <w:r w:rsidRPr="009543EA">
        <w:rPr>
          <w:color w:val="000000"/>
          <w:sz w:val="28"/>
          <w:szCs w:val="28"/>
        </w:rPr>
        <w:t>Організаційні заходи впровадження регуляторного акта в дію:</w:t>
      </w:r>
    </w:p>
    <w:p w:rsidR="00340467" w:rsidRPr="009543EA" w:rsidRDefault="00340467" w:rsidP="00C042E8">
      <w:pPr>
        <w:pBdr>
          <w:top w:val="nil"/>
          <w:left w:val="nil"/>
          <w:bottom w:val="nil"/>
          <w:right w:val="nil"/>
          <w:between w:val="nil"/>
        </w:pBdr>
        <w:spacing w:line="276" w:lineRule="auto"/>
        <w:ind w:firstLine="567"/>
        <w:jc w:val="both"/>
        <w:rPr>
          <w:color w:val="000000"/>
          <w:sz w:val="28"/>
          <w:szCs w:val="28"/>
        </w:rPr>
      </w:pPr>
      <w:r w:rsidRPr="009543EA">
        <w:rPr>
          <w:color w:val="000000"/>
          <w:sz w:val="28"/>
          <w:szCs w:val="28"/>
        </w:rPr>
        <w:t>ознайомлення надавачів соціальних послуг з вимогами акта;</w:t>
      </w:r>
    </w:p>
    <w:p w:rsidR="00340467" w:rsidRPr="009543EA" w:rsidRDefault="00340467" w:rsidP="00C042E8">
      <w:pPr>
        <w:pBdr>
          <w:top w:val="nil"/>
          <w:left w:val="nil"/>
          <w:bottom w:val="nil"/>
          <w:right w:val="nil"/>
          <w:between w:val="nil"/>
        </w:pBdr>
        <w:spacing w:line="276" w:lineRule="auto"/>
        <w:ind w:firstLine="567"/>
        <w:jc w:val="both"/>
        <w:rPr>
          <w:color w:val="000000"/>
          <w:sz w:val="28"/>
          <w:szCs w:val="28"/>
        </w:rPr>
      </w:pPr>
      <w:r w:rsidRPr="009543EA">
        <w:rPr>
          <w:color w:val="000000"/>
          <w:sz w:val="28"/>
          <w:szCs w:val="28"/>
        </w:rPr>
        <w:t>проведення інформаційно – роз’яснювальної роботи серед населення, з метою доведення акту до потенційних отримувачів соціальних послуг</w:t>
      </w:r>
      <w:r w:rsidR="00224F1F" w:rsidRPr="009543EA">
        <w:rPr>
          <w:color w:val="000000"/>
          <w:sz w:val="28"/>
          <w:szCs w:val="28"/>
        </w:rPr>
        <w:t>.</w:t>
      </w:r>
    </w:p>
    <w:p w:rsidR="00224F1F" w:rsidRPr="009543EA" w:rsidRDefault="00224F1F" w:rsidP="00C042E8">
      <w:pPr>
        <w:pBdr>
          <w:top w:val="nil"/>
          <w:left w:val="nil"/>
          <w:bottom w:val="nil"/>
          <w:right w:val="nil"/>
          <w:between w:val="nil"/>
        </w:pBdr>
        <w:spacing w:line="276" w:lineRule="auto"/>
        <w:ind w:firstLine="567"/>
        <w:jc w:val="both"/>
        <w:rPr>
          <w:color w:val="000000"/>
          <w:sz w:val="28"/>
          <w:szCs w:val="28"/>
        </w:rPr>
      </w:pPr>
      <w:r w:rsidRPr="009543EA">
        <w:rPr>
          <w:color w:val="000000"/>
          <w:sz w:val="28"/>
          <w:szCs w:val="28"/>
        </w:rPr>
        <w:t>Заходи, які необхідно здійснити суб’єктам господарювання:</w:t>
      </w:r>
    </w:p>
    <w:p w:rsidR="00224F1F" w:rsidRPr="009543EA" w:rsidRDefault="00224F1F" w:rsidP="00C042E8">
      <w:pPr>
        <w:pBdr>
          <w:top w:val="nil"/>
          <w:left w:val="nil"/>
          <w:bottom w:val="nil"/>
          <w:right w:val="nil"/>
          <w:between w:val="nil"/>
        </w:pBdr>
        <w:spacing w:line="276" w:lineRule="auto"/>
        <w:ind w:firstLine="567"/>
        <w:jc w:val="both"/>
        <w:rPr>
          <w:color w:val="000000"/>
          <w:sz w:val="28"/>
          <w:szCs w:val="28"/>
        </w:rPr>
      </w:pPr>
      <w:r w:rsidRPr="009543EA">
        <w:rPr>
          <w:color w:val="000000"/>
          <w:sz w:val="28"/>
          <w:szCs w:val="28"/>
        </w:rPr>
        <w:t>доведення вимог акту до працівн</w:t>
      </w:r>
      <w:r w:rsidR="007A727A">
        <w:rPr>
          <w:color w:val="000000"/>
          <w:sz w:val="28"/>
          <w:szCs w:val="28"/>
        </w:rPr>
        <w:t>иків надавача соціальних послуг.</w:t>
      </w:r>
    </w:p>
    <w:p w:rsidR="00FB26E9" w:rsidRPr="00224F1F" w:rsidRDefault="00826043" w:rsidP="00C042E8">
      <w:pPr>
        <w:pBdr>
          <w:top w:val="nil"/>
          <w:left w:val="nil"/>
          <w:bottom w:val="nil"/>
          <w:right w:val="nil"/>
          <w:between w:val="nil"/>
        </w:pBdr>
        <w:spacing w:line="276" w:lineRule="auto"/>
        <w:ind w:firstLine="567"/>
        <w:jc w:val="both"/>
        <w:rPr>
          <w:color w:val="000000"/>
          <w:sz w:val="28"/>
          <w:szCs w:val="28"/>
        </w:rPr>
      </w:pPr>
      <w:r w:rsidRPr="00224F1F">
        <w:rPr>
          <w:color w:val="000000"/>
          <w:sz w:val="28"/>
          <w:szCs w:val="28"/>
        </w:rPr>
        <w:t>Ризику впливу інших зовнішніх факторів на дію регуляторного акта немає.</w:t>
      </w:r>
    </w:p>
    <w:p w:rsidR="00FB26E9" w:rsidRDefault="00826043" w:rsidP="00C042E8">
      <w:pPr>
        <w:pBdr>
          <w:top w:val="nil"/>
          <w:left w:val="nil"/>
          <w:bottom w:val="nil"/>
          <w:right w:val="nil"/>
          <w:between w:val="nil"/>
        </w:pBdr>
        <w:spacing w:line="276" w:lineRule="auto"/>
        <w:ind w:firstLine="567"/>
        <w:jc w:val="both"/>
        <w:rPr>
          <w:color w:val="000000"/>
          <w:sz w:val="28"/>
          <w:szCs w:val="28"/>
        </w:rPr>
      </w:pPr>
      <w:r w:rsidRPr="00224F1F">
        <w:rPr>
          <w:color w:val="000000"/>
          <w:sz w:val="28"/>
          <w:szCs w:val="28"/>
        </w:rPr>
        <w:t>Можливої шкоди у разі очікуваних наслідків дії акта не прогнозується.</w:t>
      </w:r>
    </w:p>
    <w:p w:rsidR="00FB26E9" w:rsidRDefault="00FB26E9">
      <w:pPr>
        <w:ind w:firstLine="709"/>
        <w:jc w:val="both"/>
        <w:rPr>
          <w:b/>
          <w:sz w:val="28"/>
          <w:szCs w:val="28"/>
        </w:rPr>
      </w:pPr>
    </w:p>
    <w:p w:rsidR="00FB26E9" w:rsidRDefault="00826043">
      <w:pPr>
        <w:ind w:firstLine="709"/>
        <w:jc w:val="both"/>
        <w:rPr>
          <w:b/>
          <w:sz w:val="28"/>
          <w:szCs w:val="28"/>
        </w:rPr>
      </w:pPr>
      <w:r>
        <w:rPr>
          <w:b/>
          <w:sz w:val="28"/>
          <w:szCs w:val="28"/>
        </w:rPr>
        <w:t xml:space="preserve">VI. Оцінка виконання вимог регуляторного акта залежно від ресурсів, якими розпоряджаються органи виконавчої влади чи органи місцевого </w:t>
      </w:r>
      <w:r>
        <w:rPr>
          <w:b/>
          <w:sz w:val="28"/>
          <w:szCs w:val="28"/>
        </w:rPr>
        <w:lastRenderedPageBreak/>
        <w:t xml:space="preserve">самоврядування, фізичні та юридичні особи, які повинні проваджувати або виконувати ці вимоги </w:t>
      </w:r>
    </w:p>
    <w:p w:rsidR="00FB26E9" w:rsidRDefault="00FB26E9">
      <w:pPr>
        <w:ind w:firstLine="709"/>
        <w:jc w:val="both"/>
        <w:rPr>
          <w:sz w:val="28"/>
          <w:szCs w:val="28"/>
        </w:rPr>
      </w:pPr>
    </w:p>
    <w:p w:rsidR="00FB26E9" w:rsidRDefault="00826043">
      <w:pPr>
        <w:ind w:firstLine="709"/>
        <w:jc w:val="both"/>
        <w:rPr>
          <w:sz w:val="28"/>
          <w:szCs w:val="28"/>
        </w:rPr>
      </w:pPr>
      <w:r>
        <w:rPr>
          <w:sz w:val="28"/>
          <w:szCs w:val="28"/>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FB26E9" w:rsidRDefault="00826043">
      <w:pPr>
        <w:ind w:firstLine="709"/>
        <w:jc w:val="both"/>
        <w:rPr>
          <w:sz w:val="28"/>
          <w:szCs w:val="28"/>
        </w:rPr>
      </w:pPr>
      <w:r>
        <w:rPr>
          <w:sz w:val="28"/>
          <w:szCs w:val="28"/>
        </w:rPr>
        <w:t>Державне регулювання не передбачає утворення нового державного органу (або нового структурного підрозділу діючого органу).</w:t>
      </w:r>
    </w:p>
    <w:p w:rsidR="00FB26E9" w:rsidRDefault="00826043">
      <w:pPr>
        <w:ind w:firstLine="709"/>
        <w:jc w:val="both"/>
        <w:rPr>
          <w:sz w:val="28"/>
          <w:szCs w:val="28"/>
        </w:rPr>
      </w:pPr>
      <w:r>
        <w:rPr>
          <w:sz w:val="28"/>
          <w:szCs w:val="28"/>
        </w:rPr>
        <w:t>Відповідно, розрахунок витрат на виконання вимог регуляторного акта для органів виконавчої влади чи органів місцевого самоврядування згідно з                      додатком 3 до Методики проведення аналізу впливу регуляторного акта не проводився.</w:t>
      </w:r>
    </w:p>
    <w:p w:rsidR="00FB26E9" w:rsidRDefault="00826043">
      <w:pPr>
        <w:shd w:val="clear" w:color="auto" w:fill="FFFFFF"/>
        <w:ind w:firstLine="709"/>
        <w:jc w:val="both"/>
        <w:rPr>
          <w:sz w:val="28"/>
          <w:szCs w:val="28"/>
        </w:rPr>
      </w:pPr>
      <w:r>
        <w:rPr>
          <w:color w:val="333333"/>
          <w:sz w:val="28"/>
          <w:szCs w:val="28"/>
        </w:rPr>
        <w:t xml:space="preserve">Тест малого підприємництва (М-Тест) </w:t>
      </w:r>
      <w:r>
        <w:rPr>
          <w:sz w:val="28"/>
          <w:szCs w:val="28"/>
        </w:rPr>
        <w:t>додається.</w:t>
      </w:r>
    </w:p>
    <w:p w:rsidR="00FB26E9" w:rsidRDefault="00826043">
      <w:pPr>
        <w:ind w:firstLine="709"/>
        <w:jc w:val="both"/>
        <w:rPr>
          <w:sz w:val="28"/>
          <w:szCs w:val="28"/>
        </w:rPr>
      </w:pPr>
      <w:r>
        <w:rPr>
          <w:sz w:val="28"/>
          <w:szCs w:val="28"/>
        </w:rPr>
        <w:t>Прийняття акта дозволить врегулювати процедуру надання соціальної послуги.</w:t>
      </w:r>
    </w:p>
    <w:p w:rsidR="00FB26E9" w:rsidRDefault="00826043">
      <w:pPr>
        <w:ind w:firstLine="709"/>
        <w:jc w:val="both"/>
        <w:rPr>
          <w:sz w:val="28"/>
          <w:szCs w:val="28"/>
        </w:rPr>
      </w:pPr>
      <w:r>
        <w:rPr>
          <w:sz w:val="28"/>
          <w:szCs w:val="28"/>
        </w:rPr>
        <w:t>Прийняття та оприлюднення проекту акта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w:t>
      </w:r>
    </w:p>
    <w:p w:rsidR="00FB26E9" w:rsidRDefault="00826043">
      <w:pPr>
        <w:ind w:firstLine="709"/>
        <w:jc w:val="both"/>
        <w:rPr>
          <w:sz w:val="28"/>
          <w:szCs w:val="28"/>
        </w:rPr>
      </w:pPr>
      <w:r>
        <w:rPr>
          <w:sz w:val="28"/>
          <w:szCs w:val="28"/>
        </w:rPr>
        <w:t>Досягнення цілей не передбачає додаткових організаційних заходів.</w:t>
      </w:r>
    </w:p>
    <w:p w:rsidR="00FB26E9" w:rsidRDefault="00826043">
      <w:pPr>
        <w:ind w:firstLine="709"/>
        <w:jc w:val="both"/>
        <w:rPr>
          <w:sz w:val="28"/>
          <w:szCs w:val="28"/>
        </w:rPr>
      </w:pPr>
      <w:r>
        <w:rPr>
          <w:sz w:val="28"/>
          <w:szCs w:val="28"/>
        </w:rPr>
        <w:t>Прийняття проекту акта не призведе до неочікуваних результатів і не потребуватиме додаткових витрат з державного бюджету.</w:t>
      </w:r>
    </w:p>
    <w:p w:rsidR="00FB26E9" w:rsidRDefault="00826043">
      <w:pPr>
        <w:ind w:firstLine="709"/>
        <w:jc w:val="both"/>
        <w:rPr>
          <w:sz w:val="28"/>
          <w:szCs w:val="28"/>
        </w:rPr>
      </w:pPr>
      <w:r>
        <w:rPr>
          <w:sz w:val="28"/>
          <w:szCs w:val="28"/>
        </w:rPr>
        <w:t>Можлива шкода у разі очікуваних наслідків дії акта не прогнозується.</w:t>
      </w:r>
    </w:p>
    <w:p w:rsidR="00FB26E9" w:rsidRDefault="00826043">
      <w:pPr>
        <w:ind w:firstLine="709"/>
        <w:jc w:val="both"/>
        <w:rPr>
          <w:sz w:val="28"/>
          <w:szCs w:val="28"/>
        </w:rPr>
      </w:pPr>
      <w:r>
        <w:rPr>
          <w:sz w:val="28"/>
          <w:szCs w:val="28"/>
        </w:rPr>
        <w:t>Державний контроль за додержанням вимог цього регуляторного акта буде здійснюватися відповідно до законодавства, а також в межах здійснення контролю за дотриманням вимог Закону України „Про соціальні послугиˮ.</w:t>
      </w:r>
    </w:p>
    <w:p w:rsidR="00FB26E9" w:rsidRDefault="00FB26E9">
      <w:pPr>
        <w:ind w:firstLine="709"/>
        <w:jc w:val="both"/>
        <w:rPr>
          <w:sz w:val="28"/>
          <w:szCs w:val="28"/>
        </w:rPr>
      </w:pPr>
    </w:p>
    <w:p w:rsidR="00FB26E9" w:rsidRDefault="00826043">
      <w:pPr>
        <w:spacing w:before="120"/>
        <w:ind w:firstLine="709"/>
        <w:jc w:val="both"/>
        <w:rPr>
          <w:sz w:val="28"/>
          <w:szCs w:val="28"/>
        </w:rPr>
      </w:pPr>
      <w:r>
        <w:rPr>
          <w:b/>
          <w:sz w:val="28"/>
          <w:szCs w:val="28"/>
        </w:rPr>
        <w:t>VII. Обґрунтування запропонованого строку дії регуляторного акта</w:t>
      </w:r>
    </w:p>
    <w:p w:rsidR="007A727A" w:rsidRDefault="007A727A">
      <w:pPr>
        <w:spacing w:before="120"/>
        <w:ind w:firstLine="709"/>
        <w:jc w:val="both"/>
        <w:rPr>
          <w:sz w:val="28"/>
          <w:szCs w:val="28"/>
        </w:rPr>
      </w:pPr>
    </w:p>
    <w:p w:rsidR="00FB26E9" w:rsidRDefault="00826043">
      <w:pPr>
        <w:spacing w:before="120"/>
        <w:ind w:firstLine="709"/>
        <w:jc w:val="both"/>
        <w:rPr>
          <w:sz w:val="28"/>
          <w:szCs w:val="28"/>
        </w:rPr>
      </w:pPr>
      <w:r>
        <w:rPr>
          <w:sz w:val="28"/>
          <w:szCs w:val="28"/>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rsidR="00FB26E9" w:rsidRDefault="00FB26E9">
      <w:pPr>
        <w:spacing w:before="120"/>
        <w:ind w:firstLine="709"/>
        <w:jc w:val="both"/>
        <w:rPr>
          <w:sz w:val="28"/>
          <w:szCs w:val="28"/>
        </w:rPr>
      </w:pPr>
    </w:p>
    <w:p w:rsidR="00FB26E9" w:rsidRDefault="00826043">
      <w:pPr>
        <w:tabs>
          <w:tab w:val="left" w:pos="993"/>
          <w:tab w:val="left" w:pos="1701"/>
        </w:tabs>
        <w:spacing w:before="120"/>
        <w:ind w:firstLine="709"/>
        <w:jc w:val="both"/>
        <w:rPr>
          <w:b/>
          <w:sz w:val="28"/>
          <w:szCs w:val="28"/>
        </w:rPr>
      </w:pPr>
      <w:r>
        <w:rPr>
          <w:b/>
          <w:sz w:val="28"/>
          <w:szCs w:val="28"/>
        </w:rPr>
        <w:t>VIII. Визначення показників результативності дії регуляторного акта</w:t>
      </w:r>
    </w:p>
    <w:p w:rsidR="00FB26E9" w:rsidRDefault="00FB26E9">
      <w:pPr>
        <w:tabs>
          <w:tab w:val="left" w:pos="993"/>
          <w:tab w:val="left" w:pos="1701"/>
        </w:tabs>
        <w:spacing w:before="120"/>
        <w:ind w:firstLine="709"/>
        <w:jc w:val="both"/>
        <w:rPr>
          <w:sz w:val="28"/>
          <w:szCs w:val="28"/>
        </w:rPr>
      </w:pPr>
    </w:p>
    <w:p w:rsidR="00FB26E9" w:rsidRDefault="00826043">
      <w:pPr>
        <w:tabs>
          <w:tab w:val="left" w:pos="993"/>
          <w:tab w:val="left" w:pos="1701"/>
        </w:tabs>
        <w:ind w:firstLine="709"/>
        <w:jc w:val="both"/>
        <w:rPr>
          <w:sz w:val="28"/>
          <w:szCs w:val="28"/>
        </w:rPr>
      </w:pPr>
      <w:r>
        <w:rPr>
          <w:sz w:val="28"/>
          <w:szCs w:val="28"/>
        </w:rPr>
        <w:t>Прогнозними значеннями показників результативності регуляторного акта є:</w:t>
      </w:r>
    </w:p>
    <w:p w:rsidR="00FB26E9" w:rsidRDefault="00826043">
      <w:pPr>
        <w:numPr>
          <w:ilvl w:val="0"/>
          <w:numId w:val="4"/>
        </w:numPr>
        <w:tabs>
          <w:tab w:val="left" w:pos="709"/>
          <w:tab w:val="left" w:pos="993"/>
        </w:tabs>
        <w:spacing w:line="259" w:lineRule="auto"/>
        <w:ind w:left="0" w:firstLine="709"/>
        <w:jc w:val="both"/>
        <w:rPr>
          <w:sz w:val="28"/>
          <w:szCs w:val="28"/>
        </w:rPr>
      </w:pPr>
      <w:r>
        <w:rPr>
          <w:sz w:val="28"/>
          <w:szCs w:val="28"/>
        </w:rPr>
        <w:t>Надходження до державного та місцевих бюджетів і державних цільових фондів, пов’язаних з дією акта, не передбачаються.</w:t>
      </w:r>
    </w:p>
    <w:p w:rsidR="00FB26E9" w:rsidRDefault="00826043">
      <w:pPr>
        <w:numPr>
          <w:ilvl w:val="0"/>
          <w:numId w:val="4"/>
        </w:numPr>
        <w:tabs>
          <w:tab w:val="left" w:pos="709"/>
          <w:tab w:val="left" w:pos="993"/>
        </w:tabs>
        <w:spacing w:line="259" w:lineRule="auto"/>
        <w:ind w:left="0" w:firstLine="709"/>
        <w:jc w:val="both"/>
        <w:rPr>
          <w:sz w:val="28"/>
          <w:szCs w:val="28"/>
        </w:rPr>
      </w:pPr>
      <w:r>
        <w:rPr>
          <w:sz w:val="28"/>
          <w:szCs w:val="28"/>
        </w:rPr>
        <w:t>Кількість суб’єктів господарювання та /або фізичних осіб, на яких розповсюджується дія регуляторного акта.</w:t>
      </w:r>
    </w:p>
    <w:p w:rsidR="00FB26E9" w:rsidRDefault="00826043">
      <w:pPr>
        <w:numPr>
          <w:ilvl w:val="0"/>
          <w:numId w:val="4"/>
        </w:numPr>
        <w:tabs>
          <w:tab w:val="left" w:pos="709"/>
          <w:tab w:val="left" w:pos="993"/>
        </w:tabs>
        <w:spacing w:line="259" w:lineRule="auto"/>
        <w:ind w:left="0" w:firstLine="709"/>
        <w:jc w:val="both"/>
        <w:rPr>
          <w:sz w:val="28"/>
          <w:szCs w:val="28"/>
        </w:rPr>
      </w:pPr>
      <w:r w:rsidRPr="00224F1F">
        <w:rPr>
          <w:sz w:val="28"/>
          <w:szCs w:val="28"/>
        </w:rPr>
        <w:t>Розмір коштів</w:t>
      </w:r>
      <w:r>
        <w:rPr>
          <w:sz w:val="28"/>
          <w:szCs w:val="28"/>
        </w:rPr>
        <w:t xml:space="preserve"> та час, що витрачатиметься суб’єктами господарювання, пов’язаними з виконанням вимог акта, визначено проектом акта. </w:t>
      </w:r>
    </w:p>
    <w:p w:rsidR="00FB26E9" w:rsidRDefault="00826043">
      <w:pPr>
        <w:numPr>
          <w:ilvl w:val="0"/>
          <w:numId w:val="4"/>
        </w:numPr>
        <w:tabs>
          <w:tab w:val="left" w:pos="993"/>
          <w:tab w:val="left" w:pos="1701"/>
        </w:tabs>
        <w:spacing w:line="259" w:lineRule="auto"/>
        <w:ind w:left="0" w:firstLine="709"/>
        <w:jc w:val="both"/>
        <w:rPr>
          <w:sz w:val="28"/>
          <w:szCs w:val="28"/>
        </w:rPr>
      </w:pPr>
      <w:r>
        <w:rPr>
          <w:sz w:val="28"/>
          <w:szCs w:val="28"/>
        </w:rPr>
        <w:lastRenderedPageBreak/>
        <w:t>Рівень поінформованості надавачів соціальних послуг із основними положеннями проекту регуляторного акта – високий, оскільки зазначений проект акта розміщений на офіційному веб-сайті Мінсоцполітики (</w:t>
      </w:r>
      <w:hyperlink r:id="rId11">
        <w:r>
          <w:rPr>
            <w:sz w:val="28"/>
            <w:szCs w:val="28"/>
          </w:rPr>
          <w:t>www.msp.gov.ua</w:t>
        </w:r>
      </w:hyperlink>
      <w:r>
        <w:rPr>
          <w:sz w:val="28"/>
          <w:szCs w:val="28"/>
        </w:rPr>
        <w:t>) в розділі „Нормативна базаˮ підрозділ „Проекти нормативних актівˮ.</w:t>
      </w:r>
    </w:p>
    <w:p w:rsidR="00FB26E9" w:rsidRDefault="00826043">
      <w:pPr>
        <w:numPr>
          <w:ilvl w:val="0"/>
          <w:numId w:val="4"/>
        </w:numPr>
        <w:tabs>
          <w:tab w:val="left" w:pos="993"/>
          <w:tab w:val="left" w:pos="1701"/>
        </w:tabs>
        <w:spacing w:line="259" w:lineRule="auto"/>
        <w:ind w:left="0" w:firstLine="709"/>
        <w:jc w:val="both"/>
        <w:rPr>
          <w:sz w:val="28"/>
          <w:szCs w:val="28"/>
        </w:rPr>
      </w:pPr>
      <w:r>
        <w:rPr>
          <w:sz w:val="28"/>
          <w:szCs w:val="28"/>
        </w:rPr>
        <w:t>Чисельність отримувачів соціальних послуг зростатиме.</w:t>
      </w:r>
    </w:p>
    <w:p w:rsidR="00FB26E9" w:rsidRDefault="00826043">
      <w:pPr>
        <w:tabs>
          <w:tab w:val="left" w:pos="993"/>
          <w:tab w:val="left" w:pos="1701"/>
        </w:tabs>
        <w:ind w:firstLine="709"/>
        <w:jc w:val="both"/>
        <w:rPr>
          <w:sz w:val="28"/>
          <w:szCs w:val="28"/>
        </w:rPr>
      </w:pPr>
      <w:r>
        <w:rPr>
          <w:sz w:val="28"/>
          <w:szCs w:val="28"/>
        </w:rPr>
        <w:t>Після прийняття регуляторного акта він буде опублікований у засобах масової інформації та розміщений на Урядовому порталі.</w:t>
      </w:r>
    </w:p>
    <w:p w:rsidR="00FB26E9" w:rsidRDefault="00826043">
      <w:pPr>
        <w:tabs>
          <w:tab w:val="left" w:pos="993"/>
          <w:tab w:val="left" w:pos="1701"/>
        </w:tabs>
        <w:ind w:firstLine="709"/>
        <w:jc w:val="both"/>
        <w:rPr>
          <w:sz w:val="28"/>
          <w:szCs w:val="28"/>
        </w:rPr>
      </w:pPr>
      <w:r>
        <w:rPr>
          <w:sz w:val="28"/>
          <w:szCs w:val="28"/>
        </w:rPr>
        <w:t>Для визначення результативності регуляторного акта пропонується встановити такі оперативні показники:</w:t>
      </w:r>
    </w:p>
    <w:p w:rsidR="00FB26E9" w:rsidRDefault="00826043">
      <w:pPr>
        <w:tabs>
          <w:tab w:val="left" w:pos="993"/>
          <w:tab w:val="left" w:pos="1701"/>
        </w:tabs>
        <w:ind w:firstLine="709"/>
        <w:jc w:val="both"/>
        <w:rPr>
          <w:sz w:val="28"/>
          <w:szCs w:val="28"/>
        </w:rPr>
      </w:pPr>
      <w:r>
        <w:rPr>
          <w:sz w:val="28"/>
          <w:szCs w:val="28"/>
        </w:rPr>
        <w:t>кількість надавачів соціальної послуги, у тому числі недержавного сектору;</w:t>
      </w:r>
    </w:p>
    <w:p w:rsidR="00FB26E9" w:rsidRDefault="00826043">
      <w:pPr>
        <w:tabs>
          <w:tab w:val="left" w:pos="993"/>
          <w:tab w:val="left" w:pos="1701"/>
        </w:tabs>
        <w:ind w:firstLine="709"/>
        <w:jc w:val="both"/>
        <w:rPr>
          <w:sz w:val="28"/>
          <w:szCs w:val="28"/>
        </w:rPr>
      </w:pPr>
      <w:r>
        <w:rPr>
          <w:sz w:val="28"/>
          <w:szCs w:val="28"/>
        </w:rPr>
        <w:t>чисельність отримувачів соціальної послуги;</w:t>
      </w:r>
    </w:p>
    <w:p w:rsidR="00FB26E9" w:rsidRDefault="00826043">
      <w:pPr>
        <w:tabs>
          <w:tab w:val="left" w:pos="993"/>
          <w:tab w:val="left" w:pos="1701"/>
        </w:tabs>
        <w:ind w:firstLine="709"/>
        <w:jc w:val="both"/>
        <w:rPr>
          <w:sz w:val="28"/>
          <w:szCs w:val="28"/>
        </w:rPr>
      </w:pPr>
      <w:r>
        <w:rPr>
          <w:sz w:val="28"/>
          <w:szCs w:val="28"/>
        </w:rPr>
        <w:t xml:space="preserve">чисельність працівників, які пройшли відповідний тренінг; </w:t>
      </w:r>
    </w:p>
    <w:p w:rsidR="00FB26E9" w:rsidRDefault="00826043">
      <w:pPr>
        <w:tabs>
          <w:tab w:val="left" w:pos="709"/>
        </w:tabs>
        <w:ind w:firstLine="709"/>
        <w:jc w:val="both"/>
        <w:rPr>
          <w:sz w:val="28"/>
          <w:szCs w:val="28"/>
        </w:rPr>
      </w:pPr>
      <w:r>
        <w:rPr>
          <w:sz w:val="28"/>
          <w:szCs w:val="28"/>
        </w:rPr>
        <w:t>кількість скарг / звернень суб’єктів господарювання, пов’язаних із дією регуляторного акта.</w:t>
      </w:r>
    </w:p>
    <w:p w:rsidR="00FB26E9" w:rsidRDefault="00FB26E9">
      <w:pPr>
        <w:tabs>
          <w:tab w:val="left" w:pos="709"/>
        </w:tabs>
        <w:ind w:firstLine="709"/>
        <w:jc w:val="both"/>
        <w:rPr>
          <w:sz w:val="28"/>
          <w:szCs w:val="28"/>
        </w:rPr>
      </w:pPr>
    </w:p>
    <w:p w:rsidR="00FB26E9" w:rsidRDefault="00826043">
      <w:pPr>
        <w:tabs>
          <w:tab w:val="left" w:pos="709"/>
        </w:tabs>
        <w:ind w:firstLine="709"/>
        <w:jc w:val="both"/>
        <w:rPr>
          <w:b/>
          <w:sz w:val="28"/>
          <w:szCs w:val="28"/>
        </w:rPr>
      </w:pPr>
      <w:r>
        <w:rPr>
          <w:b/>
          <w:sz w:val="28"/>
          <w:szCs w:val="28"/>
        </w:rPr>
        <w:t>IX. Визначення заходів, за допомогою яких здійснюватиметься відстеження результативності дії регуляторного акта</w:t>
      </w:r>
    </w:p>
    <w:p w:rsidR="00FB26E9" w:rsidRDefault="00FB26E9">
      <w:pPr>
        <w:tabs>
          <w:tab w:val="left" w:pos="709"/>
        </w:tabs>
        <w:ind w:firstLine="709"/>
        <w:jc w:val="both"/>
        <w:rPr>
          <w:sz w:val="28"/>
          <w:szCs w:val="28"/>
        </w:rPr>
      </w:pPr>
    </w:p>
    <w:p w:rsidR="00FB26E9" w:rsidRDefault="00826043">
      <w:pPr>
        <w:ind w:firstLine="709"/>
        <w:jc w:val="both"/>
        <w:rPr>
          <w:sz w:val="28"/>
          <w:szCs w:val="28"/>
        </w:rPr>
      </w:pPr>
      <w:r>
        <w:rPr>
          <w:sz w:val="28"/>
          <w:szCs w:val="28"/>
        </w:rPr>
        <w:t>Відстеження результативності регуляторного акта здійснюватиметься шляхом проведення базового та повторного періодичного відстежень оперативних показників результативності акта, визначених під час проведення аналізу впливу регуляторного акта.</w:t>
      </w:r>
    </w:p>
    <w:p w:rsidR="00FB26E9" w:rsidRDefault="00826043">
      <w:pPr>
        <w:ind w:firstLine="709"/>
        <w:jc w:val="both"/>
        <w:rPr>
          <w:sz w:val="28"/>
          <w:szCs w:val="28"/>
        </w:rPr>
      </w:pPr>
      <w:r>
        <w:rPr>
          <w:sz w:val="28"/>
          <w:szCs w:val="28"/>
        </w:rPr>
        <w:t>Базове відстеження результативності цього регуляторного акта здійснюватиметься після набрання ним чинності.</w:t>
      </w:r>
    </w:p>
    <w:p w:rsidR="00FB26E9" w:rsidRDefault="00826043">
      <w:pPr>
        <w:ind w:firstLine="709"/>
        <w:jc w:val="both"/>
        <w:rPr>
          <w:sz w:val="28"/>
          <w:szCs w:val="28"/>
        </w:rPr>
      </w:pPr>
      <w:bookmarkStart w:id="3" w:name="_gjdgxs" w:colFirst="0" w:colLast="0"/>
      <w:bookmarkEnd w:id="3"/>
      <w:r>
        <w:rPr>
          <w:sz w:val="28"/>
          <w:szCs w:val="28"/>
        </w:rPr>
        <w:t>Повторне відстеження результативності регуляторного акта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rsidR="00FB26E9" w:rsidRDefault="00826043">
      <w:pPr>
        <w:ind w:firstLine="709"/>
        <w:jc w:val="both"/>
        <w:rPr>
          <w:sz w:val="28"/>
          <w:szCs w:val="28"/>
        </w:rPr>
      </w:pPr>
      <w:r>
        <w:rPr>
          <w:sz w:val="28"/>
          <w:szCs w:val="28"/>
        </w:rPr>
        <w:t xml:space="preserve">Періодичне відстеження результативності регуляторного акта здійснюватиметься 1 раз на кожні три роки після проведення повторного відстеження. </w:t>
      </w:r>
    </w:p>
    <w:p w:rsidR="00FB26E9" w:rsidRDefault="00FB26E9">
      <w:pPr>
        <w:spacing w:before="120"/>
        <w:ind w:firstLine="709"/>
        <w:jc w:val="both"/>
        <w:rPr>
          <w:sz w:val="28"/>
          <w:szCs w:val="28"/>
        </w:rPr>
      </w:pPr>
    </w:p>
    <w:p w:rsidR="00FB26E9" w:rsidRDefault="00FB26E9">
      <w:pPr>
        <w:spacing w:before="120"/>
        <w:ind w:firstLine="709"/>
        <w:jc w:val="both"/>
        <w:rPr>
          <w:sz w:val="28"/>
          <w:szCs w:val="28"/>
        </w:rPr>
      </w:pPr>
    </w:p>
    <w:p w:rsidR="006E07E4" w:rsidRPr="00003AAC" w:rsidRDefault="006E07E4" w:rsidP="006E07E4">
      <w:pPr>
        <w:widowControl w:val="0"/>
        <w:shd w:val="clear" w:color="auto" w:fill="FFFFFF"/>
        <w:tabs>
          <w:tab w:val="left" w:pos="7181"/>
        </w:tabs>
        <w:rPr>
          <w:b/>
          <w:sz w:val="28"/>
          <w:szCs w:val="28"/>
        </w:rPr>
      </w:pPr>
      <w:r w:rsidRPr="00637FC1">
        <w:rPr>
          <w:b/>
          <w:sz w:val="28"/>
          <w:szCs w:val="28"/>
        </w:rPr>
        <w:t>Міністр</w:t>
      </w:r>
      <w:r w:rsidR="00826043" w:rsidRPr="00637FC1">
        <w:rPr>
          <w:b/>
          <w:sz w:val="28"/>
          <w:szCs w:val="28"/>
        </w:rPr>
        <w:t xml:space="preserve"> </w:t>
      </w:r>
      <w:r w:rsidRPr="00637FC1">
        <w:rPr>
          <w:b/>
          <w:sz w:val="28"/>
          <w:szCs w:val="28"/>
        </w:rPr>
        <w:t xml:space="preserve">                                                                                  Оксана ЖОЛНОВИЧ</w:t>
      </w:r>
    </w:p>
    <w:p w:rsidR="00FB26E9" w:rsidRDefault="00FB26E9">
      <w:pPr>
        <w:jc w:val="center"/>
        <w:rPr>
          <w:sz w:val="28"/>
          <w:szCs w:val="28"/>
        </w:rPr>
      </w:pPr>
    </w:p>
    <w:p w:rsidR="00FB26E9" w:rsidRDefault="00826043">
      <w:pPr>
        <w:spacing w:after="160" w:line="259" w:lineRule="auto"/>
        <w:rPr>
          <w:b/>
          <w:color w:val="333333"/>
          <w:sz w:val="28"/>
          <w:szCs w:val="28"/>
        </w:rPr>
      </w:pPr>
      <w:r>
        <w:br w:type="page"/>
      </w:r>
    </w:p>
    <w:p w:rsidR="00FB26E9" w:rsidRPr="00224F1F" w:rsidRDefault="00826043">
      <w:pPr>
        <w:shd w:val="clear" w:color="auto" w:fill="FFFFFF"/>
        <w:spacing w:before="150" w:after="150"/>
        <w:jc w:val="right"/>
        <w:rPr>
          <w:b/>
          <w:color w:val="333333"/>
          <w:sz w:val="28"/>
          <w:szCs w:val="28"/>
        </w:rPr>
      </w:pPr>
      <w:r w:rsidRPr="00224F1F">
        <w:rPr>
          <w:b/>
          <w:color w:val="333333"/>
          <w:sz w:val="28"/>
          <w:szCs w:val="28"/>
        </w:rPr>
        <w:lastRenderedPageBreak/>
        <w:t xml:space="preserve">Додаток </w:t>
      </w:r>
    </w:p>
    <w:p w:rsidR="00FB26E9" w:rsidRDefault="00826043">
      <w:pPr>
        <w:shd w:val="clear" w:color="auto" w:fill="FFFFFF"/>
        <w:spacing w:before="150" w:after="150"/>
        <w:jc w:val="right"/>
        <w:rPr>
          <w:b/>
          <w:color w:val="333333"/>
          <w:sz w:val="28"/>
          <w:szCs w:val="28"/>
        </w:rPr>
      </w:pPr>
      <w:r w:rsidRPr="00224F1F">
        <w:rPr>
          <w:b/>
          <w:color w:val="333333"/>
          <w:sz w:val="28"/>
          <w:szCs w:val="28"/>
        </w:rPr>
        <w:t>до аналізу регуляторного впливу</w:t>
      </w:r>
    </w:p>
    <w:p w:rsidR="00FB26E9" w:rsidRDefault="00826043">
      <w:pPr>
        <w:shd w:val="clear" w:color="auto" w:fill="FFFFFF"/>
        <w:spacing w:before="150" w:after="150"/>
        <w:jc w:val="center"/>
        <w:rPr>
          <w:color w:val="333333"/>
        </w:rPr>
      </w:pPr>
      <w:r>
        <w:rPr>
          <w:b/>
          <w:color w:val="333333"/>
          <w:sz w:val="28"/>
          <w:szCs w:val="28"/>
        </w:rPr>
        <w:t>ТЕСТ</w:t>
      </w:r>
      <w:r>
        <w:rPr>
          <w:color w:val="333333"/>
        </w:rPr>
        <w:br/>
      </w:r>
      <w:r>
        <w:rPr>
          <w:b/>
          <w:color w:val="333333"/>
          <w:sz w:val="28"/>
          <w:szCs w:val="28"/>
        </w:rPr>
        <w:t>малого підприємництва (М-Тест)</w:t>
      </w:r>
    </w:p>
    <w:p w:rsidR="00FB26E9" w:rsidRDefault="00826043">
      <w:pPr>
        <w:shd w:val="clear" w:color="auto" w:fill="FFFFFF"/>
        <w:spacing w:after="150"/>
        <w:ind w:firstLine="450"/>
        <w:jc w:val="both"/>
        <w:rPr>
          <w:color w:val="333333"/>
        </w:rPr>
      </w:pPr>
      <w:bookmarkStart w:id="4" w:name="30j0zll" w:colFirst="0" w:colLast="0"/>
      <w:bookmarkEnd w:id="4"/>
      <w:r>
        <w:rPr>
          <w:color w:val="333333"/>
        </w:rPr>
        <w:t>1. Консультації з представниками мікро- та малого підприємництва щодо оцінки впливу регулювання</w:t>
      </w:r>
    </w:p>
    <w:p w:rsidR="00FB26E9" w:rsidRDefault="00826043">
      <w:pPr>
        <w:shd w:val="clear" w:color="auto" w:fill="FFFFFF"/>
        <w:spacing w:after="150"/>
        <w:ind w:firstLine="450"/>
        <w:jc w:val="both"/>
      </w:pPr>
      <w:bookmarkStart w:id="5" w:name="1fob9te" w:colFirst="0" w:colLast="0"/>
      <w:bookmarkEnd w:id="5"/>
      <w: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566E5A">
        <w:t>17</w:t>
      </w:r>
      <w:r>
        <w:t xml:space="preserve">” </w:t>
      </w:r>
      <w:r w:rsidR="00566E5A">
        <w:t>липня</w:t>
      </w:r>
      <w:r>
        <w:t xml:space="preserve"> 202</w:t>
      </w:r>
      <w:r w:rsidR="00566E5A">
        <w:t>4</w:t>
      </w:r>
      <w:r>
        <w:t xml:space="preserve"> р. по                                “</w:t>
      </w:r>
      <w:r w:rsidR="00566E5A">
        <w:t>30</w:t>
      </w:r>
      <w:r>
        <w:t xml:space="preserve">” </w:t>
      </w:r>
      <w:r w:rsidR="00566E5A">
        <w:t>січня 2025</w:t>
      </w:r>
      <w:r>
        <w:t xml:space="preserve"> року під час проведення консультацій із заінтересованими сторонами.</w:t>
      </w:r>
    </w:p>
    <w:tbl>
      <w:tblPr>
        <w:tblStyle w:val="a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9"/>
        <w:gridCol w:w="4267"/>
        <w:gridCol w:w="1632"/>
        <w:gridCol w:w="2261"/>
      </w:tblGrid>
      <w:tr w:rsidR="00FB26E9">
        <w:tc>
          <w:tcPr>
            <w:tcW w:w="1469" w:type="dxa"/>
          </w:tcPr>
          <w:p w:rsidR="00FB26E9" w:rsidRDefault="00826043">
            <w:pPr>
              <w:spacing w:after="150"/>
              <w:jc w:val="both"/>
              <w:rPr>
                <w:color w:val="333333"/>
              </w:rPr>
            </w:pPr>
            <w:r>
              <w:t>Порядковий номер</w:t>
            </w:r>
          </w:p>
        </w:tc>
        <w:tc>
          <w:tcPr>
            <w:tcW w:w="4267" w:type="dxa"/>
          </w:tcPr>
          <w:p w:rsidR="00FB26E9" w:rsidRDefault="00826043">
            <w:pPr>
              <w:spacing w:after="150"/>
              <w:jc w:val="both"/>
              <w:rPr>
                <w:color w:val="333333"/>
              </w:rPr>
            </w:pPr>
            <w: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632" w:type="dxa"/>
          </w:tcPr>
          <w:p w:rsidR="00FB26E9" w:rsidRDefault="00826043">
            <w:pPr>
              <w:spacing w:after="150"/>
              <w:jc w:val="both"/>
              <w:rPr>
                <w:color w:val="333333"/>
              </w:rPr>
            </w:pPr>
            <w:r>
              <w:t>Кількість учасників консультацій, осіб</w:t>
            </w:r>
          </w:p>
        </w:tc>
        <w:tc>
          <w:tcPr>
            <w:tcW w:w="2261" w:type="dxa"/>
          </w:tcPr>
          <w:p w:rsidR="00FB26E9" w:rsidRDefault="00826043">
            <w:pPr>
              <w:spacing w:after="150"/>
              <w:jc w:val="both"/>
              <w:rPr>
                <w:color w:val="333333"/>
              </w:rPr>
            </w:pPr>
            <w:r>
              <w:t>Основні результати консультацій (опис)</w:t>
            </w:r>
          </w:p>
        </w:tc>
      </w:tr>
      <w:tr w:rsidR="00FB26E9">
        <w:tc>
          <w:tcPr>
            <w:tcW w:w="1469" w:type="dxa"/>
          </w:tcPr>
          <w:p w:rsidR="00FB26E9" w:rsidRDefault="00826043">
            <w:pPr>
              <w:spacing w:after="150"/>
              <w:jc w:val="center"/>
              <w:rPr>
                <w:color w:val="333333"/>
              </w:rPr>
            </w:pPr>
            <w:r>
              <w:rPr>
                <w:color w:val="333333"/>
              </w:rPr>
              <w:t>1.</w:t>
            </w:r>
          </w:p>
        </w:tc>
        <w:tc>
          <w:tcPr>
            <w:tcW w:w="4267" w:type="dxa"/>
          </w:tcPr>
          <w:p w:rsidR="00FB26E9" w:rsidRDefault="00826043" w:rsidP="0050468A">
            <w:pPr>
              <w:spacing w:after="150"/>
              <w:jc w:val="both"/>
              <w:rPr>
                <w:color w:val="333333"/>
              </w:rPr>
            </w:pPr>
            <w:r>
              <w:rPr>
                <w:color w:val="333333"/>
              </w:rPr>
              <w:t xml:space="preserve">Проведено у </w:t>
            </w:r>
            <w:r w:rsidR="0050468A">
              <w:rPr>
                <w:color w:val="333333"/>
              </w:rPr>
              <w:t xml:space="preserve">січні </w:t>
            </w:r>
            <w:r>
              <w:rPr>
                <w:color w:val="333333"/>
              </w:rPr>
              <w:t>202</w:t>
            </w:r>
            <w:r w:rsidR="0050468A">
              <w:rPr>
                <w:color w:val="333333"/>
              </w:rPr>
              <w:t>5</w:t>
            </w:r>
            <w:r>
              <w:rPr>
                <w:color w:val="333333"/>
              </w:rPr>
              <w:t xml:space="preserve"> року робочу нараду за участі громадських об’єднань з питань розробки проекту Державного стандарту </w:t>
            </w:r>
            <w:r w:rsidR="0050468A">
              <w:t>соціальної послуги консультування з пристосування житлових приміщень</w:t>
            </w:r>
          </w:p>
        </w:tc>
        <w:tc>
          <w:tcPr>
            <w:tcW w:w="1632" w:type="dxa"/>
          </w:tcPr>
          <w:p w:rsidR="00FB26E9" w:rsidRDefault="0050468A">
            <w:pPr>
              <w:spacing w:after="150"/>
              <w:jc w:val="center"/>
              <w:rPr>
                <w:color w:val="333333"/>
              </w:rPr>
            </w:pPr>
            <w:r>
              <w:t>8</w:t>
            </w:r>
            <w:r w:rsidR="00826043">
              <w:t xml:space="preserve"> громадських організацій  </w:t>
            </w:r>
          </w:p>
        </w:tc>
        <w:tc>
          <w:tcPr>
            <w:tcW w:w="2261" w:type="dxa"/>
          </w:tcPr>
          <w:p w:rsidR="00FB26E9" w:rsidRDefault="00826043">
            <w:pPr>
              <w:jc w:val="both"/>
              <w:rPr>
                <w:color w:val="333333"/>
              </w:rPr>
            </w:pPr>
            <w:r>
              <w:t xml:space="preserve">Погоджено </w:t>
            </w:r>
          </w:p>
          <w:p w:rsidR="00FB26E9" w:rsidRDefault="00FB26E9">
            <w:pPr>
              <w:spacing w:after="150"/>
              <w:jc w:val="center"/>
              <w:rPr>
                <w:color w:val="333333"/>
              </w:rPr>
            </w:pPr>
          </w:p>
        </w:tc>
      </w:tr>
      <w:tr w:rsidR="00FB26E9">
        <w:tc>
          <w:tcPr>
            <w:tcW w:w="1469" w:type="dxa"/>
          </w:tcPr>
          <w:p w:rsidR="00FB26E9" w:rsidRDefault="00826043">
            <w:pPr>
              <w:spacing w:after="150"/>
              <w:jc w:val="center"/>
              <w:rPr>
                <w:color w:val="333333"/>
              </w:rPr>
            </w:pPr>
            <w:r>
              <w:rPr>
                <w:color w:val="333333"/>
              </w:rPr>
              <w:t>2.</w:t>
            </w:r>
          </w:p>
        </w:tc>
        <w:tc>
          <w:tcPr>
            <w:tcW w:w="4267" w:type="dxa"/>
          </w:tcPr>
          <w:p w:rsidR="00FB26E9" w:rsidRDefault="00826043" w:rsidP="0050468A">
            <w:pPr>
              <w:tabs>
                <w:tab w:val="left" w:pos="1140"/>
              </w:tabs>
              <w:spacing w:after="150"/>
              <w:jc w:val="both"/>
              <w:rPr>
                <w:color w:val="333333"/>
              </w:rPr>
            </w:pPr>
            <w:r>
              <w:t xml:space="preserve">Розглянуто на робочій нараді  </w:t>
            </w:r>
            <w:r w:rsidR="0050468A">
              <w:t>30</w:t>
            </w:r>
            <w:r>
              <w:t>.0</w:t>
            </w:r>
            <w:r w:rsidR="0050468A">
              <w:t>1</w:t>
            </w:r>
            <w:r>
              <w:t>.202</w:t>
            </w:r>
            <w:r w:rsidR="0050468A">
              <w:t>5</w:t>
            </w:r>
            <w:r>
              <w:t xml:space="preserve"> за участю представників громадських організацій, надавачі соціальних послу</w:t>
            </w:r>
          </w:p>
        </w:tc>
        <w:tc>
          <w:tcPr>
            <w:tcW w:w="1632" w:type="dxa"/>
          </w:tcPr>
          <w:p w:rsidR="00FB26E9" w:rsidRDefault="0050468A">
            <w:pPr>
              <w:spacing w:after="150"/>
              <w:jc w:val="center"/>
            </w:pPr>
            <w:r>
              <w:t>21</w:t>
            </w:r>
          </w:p>
        </w:tc>
        <w:tc>
          <w:tcPr>
            <w:tcW w:w="2261" w:type="dxa"/>
          </w:tcPr>
          <w:p w:rsidR="00FB26E9" w:rsidRPr="0050468A" w:rsidRDefault="00826043">
            <w:pPr>
              <w:jc w:val="both"/>
            </w:pPr>
            <w:r w:rsidRPr="0050468A">
              <w:t>Погоджено проект наказу Мінсоцполітики ,,</w:t>
            </w:r>
            <w:r w:rsidR="0050468A" w:rsidRPr="0050468A">
              <w:t>Про затвердження Державного стандарту соціальної послуги консультування з пристосування житлових приміщень та внесення зміни до Класифікатора соціальних послуг</w:t>
            </w:r>
            <w:r w:rsidRPr="0050468A">
              <w:t>”.</w:t>
            </w:r>
          </w:p>
          <w:p w:rsidR="00FB26E9" w:rsidRPr="0050468A" w:rsidRDefault="00826043">
            <w:pPr>
              <w:jc w:val="both"/>
            </w:pPr>
            <w:r w:rsidRPr="0050468A">
              <w:t>Позитивно оцінюють та підтримують прийняття Державного стандарту соціальної послуги</w:t>
            </w:r>
          </w:p>
        </w:tc>
      </w:tr>
    </w:tbl>
    <w:p w:rsidR="00FB26E9" w:rsidRDefault="00FB26E9">
      <w:pPr>
        <w:shd w:val="clear" w:color="auto" w:fill="FFFFFF"/>
        <w:spacing w:after="150"/>
        <w:ind w:firstLine="450"/>
        <w:jc w:val="both"/>
        <w:rPr>
          <w:color w:val="333333"/>
        </w:rPr>
      </w:pPr>
    </w:p>
    <w:p w:rsidR="00FB26E9" w:rsidRDefault="00826043">
      <w:pPr>
        <w:shd w:val="clear" w:color="auto" w:fill="FFFFFF"/>
        <w:ind w:firstLine="450"/>
        <w:jc w:val="both"/>
        <w:rPr>
          <w:color w:val="333333"/>
        </w:rPr>
      </w:pPr>
      <w:bookmarkStart w:id="6" w:name="2et92p0" w:colFirst="0" w:colLast="0"/>
      <w:bookmarkStart w:id="7" w:name="3znysh7" w:colFirst="0" w:colLast="0"/>
      <w:bookmarkEnd w:id="6"/>
      <w:bookmarkEnd w:id="7"/>
      <w:r>
        <w:rPr>
          <w:color w:val="333333"/>
        </w:rPr>
        <w:t>2. Вимірювання впливу регулювання на суб’єктів малого підприємництва (мікро- та малі):</w:t>
      </w:r>
    </w:p>
    <w:p w:rsidR="00FB26E9" w:rsidRDefault="00826043">
      <w:pPr>
        <w:shd w:val="clear" w:color="auto" w:fill="FFFFFF"/>
        <w:ind w:firstLine="450"/>
        <w:jc w:val="both"/>
        <w:rPr>
          <w:color w:val="333333"/>
        </w:rPr>
      </w:pPr>
      <w:bookmarkStart w:id="8" w:name="tyjcwt" w:colFirst="0" w:colLast="0"/>
      <w:bookmarkEnd w:id="8"/>
      <w:r>
        <w:rPr>
          <w:color w:val="333333"/>
        </w:rPr>
        <w:t xml:space="preserve">кількість суб’єктів малого підприємництва, на яких поширюється регулювання:                           </w:t>
      </w:r>
      <w:r w:rsidR="0050468A">
        <w:rPr>
          <w:color w:val="333333"/>
        </w:rPr>
        <w:t>2011</w:t>
      </w:r>
      <w:r>
        <w:rPr>
          <w:color w:val="333333"/>
        </w:rPr>
        <w:t xml:space="preserve">, у тому числі малого підприємництва </w:t>
      </w:r>
      <w:r w:rsidR="0050468A">
        <w:rPr>
          <w:color w:val="333333"/>
        </w:rPr>
        <w:t>843</w:t>
      </w:r>
      <w:r>
        <w:rPr>
          <w:color w:val="333333"/>
        </w:rPr>
        <w:t xml:space="preserve"> та мікропідприємництва </w:t>
      </w:r>
      <w:r w:rsidR="0050468A">
        <w:rPr>
          <w:color w:val="333333"/>
        </w:rPr>
        <w:t>1168</w:t>
      </w:r>
      <w:r>
        <w:rPr>
          <w:color w:val="333333"/>
        </w:rPr>
        <w:t>;</w:t>
      </w:r>
    </w:p>
    <w:p w:rsidR="00FB26E9" w:rsidRDefault="00826043">
      <w:pPr>
        <w:shd w:val="clear" w:color="auto" w:fill="FFFFFF"/>
        <w:ind w:firstLine="450"/>
        <w:jc w:val="both"/>
        <w:rPr>
          <w:color w:val="333333"/>
        </w:rPr>
      </w:pPr>
      <w:bookmarkStart w:id="9" w:name="3dy6vkm" w:colFirst="0" w:colLast="0"/>
      <w:bookmarkEnd w:id="9"/>
      <w:r>
        <w:rPr>
          <w:color w:val="333333"/>
        </w:rPr>
        <w:lastRenderedPageBreak/>
        <w:t xml:space="preserve">питома вага суб’єктів малого підприємництва у загальній кількості суб’єктів господарювання, на яких проблема справляє вплив </w:t>
      </w:r>
      <w:r w:rsidR="0050468A">
        <w:rPr>
          <w:color w:val="333333"/>
        </w:rPr>
        <w:t>42</w:t>
      </w:r>
      <w:r>
        <w:rPr>
          <w:color w:val="333333"/>
        </w:rPr>
        <w:t>%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FB26E9" w:rsidRDefault="00FB26E9">
      <w:pPr>
        <w:shd w:val="clear" w:color="auto" w:fill="FFFFFF"/>
        <w:spacing w:after="150"/>
        <w:ind w:firstLine="450"/>
        <w:jc w:val="both"/>
        <w:rPr>
          <w:color w:val="333333"/>
        </w:rPr>
      </w:pPr>
      <w:bookmarkStart w:id="10" w:name="1t3h5sf" w:colFirst="0" w:colLast="0"/>
      <w:bookmarkEnd w:id="10"/>
    </w:p>
    <w:p w:rsidR="00FB26E9" w:rsidRDefault="00826043">
      <w:pPr>
        <w:shd w:val="clear" w:color="auto" w:fill="FFFFFF"/>
        <w:spacing w:after="150"/>
        <w:ind w:firstLine="450"/>
        <w:jc w:val="both"/>
        <w:rPr>
          <w:color w:val="333333"/>
        </w:rPr>
      </w:pPr>
      <w:r>
        <w:rPr>
          <w:color w:val="333333"/>
        </w:rPr>
        <w:t>3. Розрахунок витрат суб’єктів малого підприємництва на виконання вимог регулювання</w:t>
      </w:r>
    </w:p>
    <w:p w:rsidR="00FB26E9" w:rsidRDefault="00FB26E9">
      <w:pPr>
        <w:shd w:val="clear" w:color="auto" w:fill="FFFFFF"/>
        <w:spacing w:after="150"/>
        <w:ind w:firstLine="450"/>
        <w:jc w:val="both"/>
        <w:rPr>
          <w:color w:val="333333"/>
        </w:rPr>
      </w:pPr>
    </w:p>
    <w:tbl>
      <w:tblPr>
        <w:tblStyle w:val="a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9"/>
        <w:gridCol w:w="3422"/>
        <w:gridCol w:w="1716"/>
        <w:gridCol w:w="103"/>
        <w:gridCol w:w="1613"/>
        <w:gridCol w:w="207"/>
        <w:gridCol w:w="1820"/>
      </w:tblGrid>
      <w:tr w:rsidR="00FB26E9">
        <w:tc>
          <w:tcPr>
            <w:tcW w:w="1179" w:type="dxa"/>
          </w:tcPr>
          <w:p w:rsidR="00FB26E9" w:rsidRDefault="00826043">
            <w:pPr>
              <w:spacing w:after="150"/>
              <w:jc w:val="both"/>
              <w:rPr>
                <w:color w:val="333333"/>
              </w:rPr>
            </w:pPr>
            <w:r>
              <w:t>Порядко-вий номер</w:t>
            </w:r>
          </w:p>
        </w:tc>
        <w:tc>
          <w:tcPr>
            <w:tcW w:w="3422" w:type="dxa"/>
          </w:tcPr>
          <w:p w:rsidR="00FB26E9" w:rsidRDefault="00826043">
            <w:pPr>
              <w:spacing w:after="150"/>
              <w:jc w:val="both"/>
              <w:rPr>
                <w:color w:val="333333"/>
              </w:rPr>
            </w:pPr>
            <w:r>
              <w:t>Найменування оцінки</w:t>
            </w:r>
          </w:p>
        </w:tc>
        <w:tc>
          <w:tcPr>
            <w:tcW w:w="1716" w:type="dxa"/>
          </w:tcPr>
          <w:p w:rsidR="00FB26E9" w:rsidRDefault="00826043">
            <w:pPr>
              <w:spacing w:after="150"/>
              <w:jc w:val="both"/>
              <w:rPr>
                <w:color w:val="333333"/>
              </w:rPr>
            </w:pPr>
            <w:r>
              <w:t>У перший рік (стартовий рік впровадження регулювання)</w:t>
            </w:r>
          </w:p>
        </w:tc>
        <w:tc>
          <w:tcPr>
            <w:tcW w:w="1716" w:type="dxa"/>
            <w:gridSpan w:val="2"/>
          </w:tcPr>
          <w:p w:rsidR="00FB26E9" w:rsidRDefault="00826043">
            <w:pPr>
              <w:spacing w:after="150"/>
              <w:jc w:val="both"/>
              <w:rPr>
                <w:color w:val="333333"/>
              </w:rPr>
            </w:pPr>
            <w:r>
              <w:t>Періодичні (за наступний рік)</w:t>
            </w:r>
          </w:p>
        </w:tc>
        <w:tc>
          <w:tcPr>
            <w:tcW w:w="2027" w:type="dxa"/>
            <w:gridSpan w:val="2"/>
          </w:tcPr>
          <w:p w:rsidR="00FB26E9" w:rsidRDefault="00826043">
            <w:pPr>
              <w:spacing w:after="150"/>
              <w:jc w:val="both"/>
              <w:rPr>
                <w:color w:val="333333"/>
              </w:rPr>
            </w:pPr>
            <w:r>
              <w:t>Витрати за</w:t>
            </w:r>
            <w:r>
              <w:br/>
              <w:t>п’ять років</w:t>
            </w:r>
          </w:p>
        </w:tc>
      </w:tr>
      <w:tr w:rsidR="00FB26E9">
        <w:tc>
          <w:tcPr>
            <w:tcW w:w="10060" w:type="dxa"/>
            <w:gridSpan w:val="7"/>
          </w:tcPr>
          <w:p w:rsidR="00FB26E9" w:rsidRPr="00714390" w:rsidRDefault="00826043" w:rsidP="00F35245">
            <w:pPr>
              <w:spacing w:after="150"/>
              <w:jc w:val="center"/>
              <w:rPr>
                <w:b/>
                <w:strike/>
              </w:rPr>
            </w:pPr>
            <w:r w:rsidRPr="00714390">
              <w:rPr>
                <w:b/>
                <w:color w:val="000000"/>
              </w:rPr>
              <w:t xml:space="preserve">Оцінка </w:t>
            </w:r>
            <w:r w:rsidR="00F35245" w:rsidRPr="00714390">
              <w:rPr>
                <w:b/>
                <w:color w:val="000000"/>
              </w:rPr>
              <w:t>,,</w:t>
            </w:r>
            <w:r w:rsidRPr="00714390">
              <w:rPr>
                <w:b/>
                <w:color w:val="000000"/>
              </w:rPr>
              <w:t>прямих</w:t>
            </w:r>
            <w:r w:rsidR="00F35245" w:rsidRPr="00714390">
              <w:rPr>
                <w:b/>
                <w:color w:val="000000"/>
                <w:lang w:val="en-US"/>
              </w:rPr>
              <w:t>”</w:t>
            </w:r>
            <w:r w:rsidRPr="00714390">
              <w:rPr>
                <w:b/>
                <w:color w:val="000000"/>
              </w:rPr>
              <w:t xml:space="preserve"> витрат суб’єктів малого підприємництва на виконання регулювання</w:t>
            </w:r>
          </w:p>
        </w:tc>
      </w:tr>
      <w:tr w:rsidR="00FB26E9">
        <w:tc>
          <w:tcPr>
            <w:tcW w:w="1179" w:type="dxa"/>
          </w:tcPr>
          <w:p w:rsidR="00FB26E9" w:rsidRDefault="00826043">
            <w:pPr>
              <w:spacing w:after="150"/>
              <w:jc w:val="both"/>
              <w:rPr>
                <w:sz w:val="23"/>
                <w:szCs w:val="23"/>
              </w:rPr>
            </w:pPr>
            <w:r>
              <w:rPr>
                <w:sz w:val="23"/>
                <w:szCs w:val="23"/>
              </w:rPr>
              <w:t>1.</w:t>
            </w:r>
          </w:p>
        </w:tc>
        <w:tc>
          <w:tcPr>
            <w:tcW w:w="3422" w:type="dxa"/>
          </w:tcPr>
          <w:p w:rsidR="00FB26E9" w:rsidRDefault="00826043">
            <w:pPr>
              <w:rPr>
                <w:sz w:val="23"/>
                <w:szCs w:val="23"/>
              </w:rPr>
            </w:pPr>
            <w:r>
              <w:rPr>
                <w:sz w:val="23"/>
                <w:szCs w:val="23"/>
              </w:rPr>
              <w:t xml:space="preserve">Придбання необхідного обладнання (пристроїв, машин, механізмів) </w:t>
            </w:r>
          </w:p>
        </w:tc>
        <w:tc>
          <w:tcPr>
            <w:tcW w:w="1716" w:type="dxa"/>
          </w:tcPr>
          <w:p w:rsidR="00FB26E9" w:rsidRDefault="00826043">
            <w:pPr>
              <w:rPr>
                <w:sz w:val="23"/>
                <w:szCs w:val="23"/>
              </w:rPr>
            </w:pPr>
            <w:r>
              <w:rPr>
                <w:sz w:val="23"/>
                <w:szCs w:val="23"/>
              </w:rPr>
              <w:t xml:space="preserve">Витрати відсутні </w:t>
            </w:r>
          </w:p>
        </w:tc>
        <w:tc>
          <w:tcPr>
            <w:tcW w:w="1716" w:type="dxa"/>
            <w:gridSpan w:val="2"/>
          </w:tcPr>
          <w:p w:rsidR="00FB26E9" w:rsidRDefault="00826043">
            <w:pPr>
              <w:rPr>
                <w:sz w:val="23"/>
                <w:szCs w:val="23"/>
              </w:rPr>
            </w:pPr>
            <w:r>
              <w:rPr>
                <w:sz w:val="23"/>
                <w:szCs w:val="23"/>
              </w:rPr>
              <w:t xml:space="preserve">Витрати відсутні </w:t>
            </w:r>
          </w:p>
        </w:tc>
        <w:tc>
          <w:tcPr>
            <w:tcW w:w="2027" w:type="dxa"/>
            <w:gridSpan w:val="2"/>
          </w:tcPr>
          <w:p w:rsidR="00FB26E9" w:rsidRDefault="00826043">
            <w:pPr>
              <w:rPr>
                <w:sz w:val="23"/>
                <w:szCs w:val="23"/>
              </w:rPr>
            </w:pPr>
            <w:r>
              <w:rPr>
                <w:sz w:val="23"/>
                <w:szCs w:val="23"/>
              </w:rPr>
              <w:t xml:space="preserve">Витрати відсутні </w:t>
            </w:r>
          </w:p>
        </w:tc>
      </w:tr>
      <w:tr w:rsidR="00FB26E9">
        <w:tc>
          <w:tcPr>
            <w:tcW w:w="1179" w:type="dxa"/>
          </w:tcPr>
          <w:p w:rsidR="00FB26E9" w:rsidRDefault="00826043">
            <w:pPr>
              <w:spacing w:after="150"/>
              <w:jc w:val="both"/>
              <w:rPr>
                <w:sz w:val="23"/>
                <w:szCs w:val="23"/>
              </w:rPr>
            </w:pPr>
            <w:r>
              <w:rPr>
                <w:sz w:val="23"/>
                <w:szCs w:val="23"/>
              </w:rPr>
              <w:t>2.</w:t>
            </w:r>
          </w:p>
        </w:tc>
        <w:tc>
          <w:tcPr>
            <w:tcW w:w="3422" w:type="dxa"/>
          </w:tcPr>
          <w:p w:rsidR="00FB26E9" w:rsidRDefault="00826043">
            <w:pPr>
              <w:rPr>
                <w:sz w:val="23"/>
                <w:szCs w:val="23"/>
              </w:rPr>
            </w:pPr>
            <w:r>
              <w:rPr>
                <w:sz w:val="23"/>
                <w:szCs w:val="23"/>
              </w:rPr>
              <w:t xml:space="preserve">Процедури повірки та/або постановки на відповідний облік у визначеному органі державної влади чи місцевого самоврядування </w:t>
            </w:r>
          </w:p>
        </w:tc>
        <w:tc>
          <w:tcPr>
            <w:tcW w:w="1716" w:type="dxa"/>
          </w:tcPr>
          <w:p w:rsidR="00FB26E9" w:rsidRDefault="00826043">
            <w:pPr>
              <w:rPr>
                <w:sz w:val="23"/>
                <w:szCs w:val="23"/>
              </w:rPr>
            </w:pPr>
            <w:r>
              <w:rPr>
                <w:sz w:val="23"/>
                <w:szCs w:val="23"/>
              </w:rPr>
              <w:t xml:space="preserve">Витрати відсутні </w:t>
            </w:r>
          </w:p>
        </w:tc>
        <w:tc>
          <w:tcPr>
            <w:tcW w:w="1716" w:type="dxa"/>
            <w:gridSpan w:val="2"/>
          </w:tcPr>
          <w:p w:rsidR="00FB26E9" w:rsidRDefault="00826043">
            <w:pPr>
              <w:rPr>
                <w:sz w:val="23"/>
                <w:szCs w:val="23"/>
              </w:rPr>
            </w:pPr>
            <w:r>
              <w:rPr>
                <w:sz w:val="23"/>
                <w:szCs w:val="23"/>
              </w:rPr>
              <w:t xml:space="preserve">Витрати відсутні </w:t>
            </w:r>
          </w:p>
        </w:tc>
        <w:tc>
          <w:tcPr>
            <w:tcW w:w="2027" w:type="dxa"/>
            <w:gridSpan w:val="2"/>
          </w:tcPr>
          <w:p w:rsidR="00FB26E9" w:rsidRDefault="00826043">
            <w:pPr>
              <w:rPr>
                <w:sz w:val="23"/>
                <w:szCs w:val="23"/>
              </w:rPr>
            </w:pPr>
            <w:r>
              <w:rPr>
                <w:sz w:val="23"/>
                <w:szCs w:val="23"/>
              </w:rPr>
              <w:t xml:space="preserve">Витрати відсутні </w:t>
            </w:r>
          </w:p>
        </w:tc>
      </w:tr>
      <w:tr w:rsidR="00FB26E9">
        <w:tc>
          <w:tcPr>
            <w:tcW w:w="1179" w:type="dxa"/>
          </w:tcPr>
          <w:p w:rsidR="00FB26E9" w:rsidRDefault="00826043">
            <w:pPr>
              <w:spacing w:after="150"/>
              <w:jc w:val="both"/>
              <w:rPr>
                <w:sz w:val="23"/>
                <w:szCs w:val="23"/>
              </w:rPr>
            </w:pPr>
            <w:r>
              <w:rPr>
                <w:sz w:val="23"/>
                <w:szCs w:val="23"/>
              </w:rPr>
              <w:t>3.</w:t>
            </w:r>
          </w:p>
        </w:tc>
        <w:tc>
          <w:tcPr>
            <w:tcW w:w="3422" w:type="dxa"/>
          </w:tcPr>
          <w:p w:rsidR="00FB26E9" w:rsidRDefault="00826043">
            <w:pPr>
              <w:rPr>
                <w:sz w:val="23"/>
                <w:szCs w:val="23"/>
              </w:rPr>
            </w:pPr>
            <w:r>
              <w:rPr>
                <w:sz w:val="23"/>
                <w:szCs w:val="23"/>
              </w:rPr>
              <w:t xml:space="preserve">Процедури експлуатації обладнання (експлуатаційні витрати – витратні матеріали) </w:t>
            </w:r>
          </w:p>
        </w:tc>
        <w:tc>
          <w:tcPr>
            <w:tcW w:w="1716" w:type="dxa"/>
          </w:tcPr>
          <w:p w:rsidR="00FB26E9" w:rsidRDefault="00826043">
            <w:pPr>
              <w:rPr>
                <w:sz w:val="23"/>
                <w:szCs w:val="23"/>
              </w:rPr>
            </w:pPr>
            <w:r>
              <w:rPr>
                <w:sz w:val="23"/>
                <w:szCs w:val="23"/>
              </w:rPr>
              <w:t xml:space="preserve">Витрати відсутні </w:t>
            </w:r>
          </w:p>
        </w:tc>
        <w:tc>
          <w:tcPr>
            <w:tcW w:w="1716" w:type="dxa"/>
            <w:gridSpan w:val="2"/>
          </w:tcPr>
          <w:p w:rsidR="00FB26E9" w:rsidRDefault="00826043">
            <w:pPr>
              <w:rPr>
                <w:sz w:val="23"/>
                <w:szCs w:val="23"/>
              </w:rPr>
            </w:pPr>
            <w:r>
              <w:rPr>
                <w:sz w:val="23"/>
                <w:szCs w:val="23"/>
              </w:rPr>
              <w:t xml:space="preserve">Витрати відсутні </w:t>
            </w:r>
          </w:p>
        </w:tc>
        <w:tc>
          <w:tcPr>
            <w:tcW w:w="2027" w:type="dxa"/>
            <w:gridSpan w:val="2"/>
          </w:tcPr>
          <w:p w:rsidR="00FB26E9" w:rsidRDefault="00826043">
            <w:pPr>
              <w:rPr>
                <w:sz w:val="23"/>
                <w:szCs w:val="23"/>
              </w:rPr>
            </w:pPr>
            <w:r>
              <w:rPr>
                <w:sz w:val="23"/>
                <w:szCs w:val="23"/>
              </w:rPr>
              <w:t xml:space="preserve">Витрати відсутні </w:t>
            </w:r>
          </w:p>
        </w:tc>
      </w:tr>
      <w:tr w:rsidR="00FB26E9">
        <w:tc>
          <w:tcPr>
            <w:tcW w:w="1179" w:type="dxa"/>
          </w:tcPr>
          <w:p w:rsidR="00FB26E9" w:rsidRDefault="00826043">
            <w:pPr>
              <w:spacing w:after="150"/>
              <w:jc w:val="both"/>
              <w:rPr>
                <w:sz w:val="23"/>
                <w:szCs w:val="23"/>
              </w:rPr>
            </w:pPr>
            <w:r>
              <w:rPr>
                <w:sz w:val="23"/>
                <w:szCs w:val="23"/>
              </w:rPr>
              <w:t>4.</w:t>
            </w:r>
          </w:p>
        </w:tc>
        <w:tc>
          <w:tcPr>
            <w:tcW w:w="3422" w:type="dxa"/>
          </w:tcPr>
          <w:p w:rsidR="00FB26E9" w:rsidRDefault="00826043">
            <w:pPr>
              <w:rPr>
                <w:sz w:val="23"/>
                <w:szCs w:val="23"/>
              </w:rPr>
            </w:pPr>
            <w:r>
              <w:rPr>
                <w:sz w:val="23"/>
                <w:szCs w:val="23"/>
              </w:rPr>
              <w:t xml:space="preserve">Процедури обслуговування обладнання (технічне обслуговування) </w:t>
            </w:r>
          </w:p>
        </w:tc>
        <w:tc>
          <w:tcPr>
            <w:tcW w:w="1716" w:type="dxa"/>
          </w:tcPr>
          <w:p w:rsidR="00FB26E9" w:rsidRDefault="00826043">
            <w:pPr>
              <w:rPr>
                <w:sz w:val="23"/>
                <w:szCs w:val="23"/>
              </w:rPr>
            </w:pPr>
            <w:r>
              <w:rPr>
                <w:sz w:val="23"/>
                <w:szCs w:val="23"/>
              </w:rPr>
              <w:t xml:space="preserve">Витрати відсутні </w:t>
            </w:r>
          </w:p>
        </w:tc>
        <w:tc>
          <w:tcPr>
            <w:tcW w:w="1716" w:type="dxa"/>
            <w:gridSpan w:val="2"/>
          </w:tcPr>
          <w:p w:rsidR="00FB26E9" w:rsidRDefault="00826043">
            <w:pPr>
              <w:rPr>
                <w:sz w:val="23"/>
                <w:szCs w:val="23"/>
              </w:rPr>
            </w:pPr>
            <w:r>
              <w:rPr>
                <w:sz w:val="23"/>
                <w:szCs w:val="23"/>
              </w:rPr>
              <w:t xml:space="preserve">Витрати відсутні </w:t>
            </w:r>
          </w:p>
        </w:tc>
        <w:tc>
          <w:tcPr>
            <w:tcW w:w="2027" w:type="dxa"/>
            <w:gridSpan w:val="2"/>
          </w:tcPr>
          <w:p w:rsidR="00FB26E9" w:rsidRDefault="00826043">
            <w:pPr>
              <w:rPr>
                <w:sz w:val="23"/>
                <w:szCs w:val="23"/>
              </w:rPr>
            </w:pPr>
            <w:r>
              <w:rPr>
                <w:sz w:val="23"/>
                <w:szCs w:val="23"/>
              </w:rPr>
              <w:t xml:space="preserve">Витрати відсутні </w:t>
            </w:r>
          </w:p>
        </w:tc>
      </w:tr>
      <w:tr w:rsidR="00FB26E9" w:rsidTr="00C042E8">
        <w:tc>
          <w:tcPr>
            <w:tcW w:w="1179" w:type="dxa"/>
          </w:tcPr>
          <w:p w:rsidR="00FB26E9" w:rsidRDefault="00826043">
            <w:pPr>
              <w:spacing w:after="150"/>
              <w:jc w:val="both"/>
              <w:rPr>
                <w:sz w:val="23"/>
                <w:szCs w:val="23"/>
              </w:rPr>
            </w:pPr>
            <w:r>
              <w:rPr>
                <w:sz w:val="23"/>
                <w:szCs w:val="23"/>
              </w:rPr>
              <w:t>5.</w:t>
            </w:r>
          </w:p>
        </w:tc>
        <w:tc>
          <w:tcPr>
            <w:tcW w:w="3422" w:type="dxa"/>
            <w:shd w:val="clear" w:color="auto" w:fill="auto"/>
          </w:tcPr>
          <w:p w:rsidR="00FB26E9" w:rsidRPr="00C042E8" w:rsidRDefault="00826043" w:rsidP="008D20D7">
            <w:pPr>
              <w:rPr>
                <w:sz w:val="23"/>
                <w:szCs w:val="23"/>
              </w:rPr>
            </w:pPr>
            <w:r w:rsidRPr="00C042E8">
              <w:rPr>
                <w:sz w:val="23"/>
                <w:szCs w:val="23"/>
              </w:rPr>
              <w:t>Інші процедури</w:t>
            </w:r>
            <w:r w:rsidRPr="00C042E8">
              <w:rPr>
                <w:color w:val="000000"/>
              </w:rPr>
              <w:t xml:space="preserve"> (уточнити)</w:t>
            </w:r>
          </w:p>
        </w:tc>
        <w:tc>
          <w:tcPr>
            <w:tcW w:w="1716" w:type="dxa"/>
          </w:tcPr>
          <w:p w:rsidR="00FB26E9" w:rsidRDefault="00826043">
            <w:pPr>
              <w:rPr>
                <w:sz w:val="23"/>
                <w:szCs w:val="23"/>
              </w:rPr>
            </w:pPr>
            <w:r>
              <w:rPr>
                <w:sz w:val="23"/>
                <w:szCs w:val="23"/>
              </w:rPr>
              <w:t xml:space="preserve">Витрати відсутні </w:t>
            </w:r>
          </w:p>
        </w:tc>
        <w:tc>
          <w:tcPr>
            <w:tcW w:w="1716" w:type="dxa"/>
            <w:gridSpan w:val="2"/>
          </w:tcPr>
          <w:p w:rsidR="00FB26E9" w:rsidRDefault="00826043">
            <w:pPr>
              <w:rPr>
                <w:sz w:val="23"/>
                <w:szCs w:val="23"/>
              </w:rPr>
            </w:pPr>
            <w:r>
              <w:rPr>
                <w:sz w:val="23"/>
                <w:szCs w:val="23"/>
              </w:rPr>
              <w:t xml:space="preserve">Витрати відсутні </w:t>
            </w:r>
          </w:p>
        </w:tc>
        <w:tc>
          <w:tcPr>
            <w:tcW w:w="2027" w:type="dxa"/>
            <w:gridSpan w:val="2"/>
          </w:tcPr>
          <w:p w:rsidR="00FB26E9" w:rsidRDefault="00826043">
            <w:pPr>
              <w:rPr>
                <w:sz w:val="23"/>
                <w:szCs w:val="23"/>
              </w:rPr>
            </w:pPr>
            <w:r>
              <w:rPr>
                <w:sz w:val="23"/>
                <w:szCs w:val="23"/>
              </w:rPr>
              <w:t xml:space="preserve">Витрати відсутні </w:t>
            </w:r>
          </w:p>
        </w:tc>
      </w:tr>
      <w:tr w:rsidR="00FB26E9">
        <w:tc>
          <w:tcPr>
            <w:tcW w:w="1179" w:type="dxa"/>
          </w:tcPr>
          <w:p w:rsidR="00FB26E9" w:rsidRDefault="00826043">
            <w:pPr>
              <w:spacing w:after="150"/>
              <w:jc w:val="both"/>
              <w:rPr>
                <w:sz w:val="23"/>
                <w:szCs w:val="23"/>
              </w:rPr>
            </w:pPr>
            <w:r>
              <w:rPr>
                <w:sz w:val="23"/>
                <w:szCs w:val="23"/>
              </w:rPr>
              <w:t>6.</w:t>
            </w:r>
          </w:p>
        </w:tc>
        <w:tc>
          <w:tcPr>
            <w:tcW w:w="3422" w:type="dxa"/>
          </w:tcPr>
          <w:p w:rsidR="00FB26E9" w:rsidRDefault="00826043">
            <w:bookmarkStart w:id="11" w:name="_4d34og8" w:colFirst="0" w:colLast="0"/>
            <w:bookmarkEnd w:id="11"/>
            <w:r>
              <w:t xml:space="preserve">Надання соціальної послуги передбачає такі заходи: </w:t>
            </w:r>
          </w:p>
          <w:p w:rsidR="001D4226" w:rsidRDefault="001D4226">
            <w:r>
              <w:t>Консультування з питань соціального захисту</w:t>
            </w:r>
            <w:r w:rsidR="00A17159">
              <w:t>;</w:t>
            </w:r>
            <w:r>
              <w:t xml:space="preserve"> інформування про права; консультування ерготерапевта щодо допоміжних засобів реабілітації, простору приміщення; </w:t>
            </w:r>
            <w:r w:rsidR="00A17159">
              <w:t>базової психологічної підтримки; консультування членів сім’ї отримувача соціальної послуги.</w:t>
            </w:r>
          </w:p>
          <w:p w:rsidR="00FB26E9" w:rsidRPr="00A17159" w:rsidRDefault="00826043" w:rsidP="00A17159">
            <w:r>
              <w:t xml:space="preserve">Витрати одного суб’єкта, що надає соціальну послугу, на надання однієї такої послуги одному отримувачу, розрахунково, становлять             </w:t>
            </w:r>
            <w:r w:rsidR="00A17159">
              <w:t>11 878,49 грн</w:t>
            </w:r>
            <w:r>
              <w:t xml:space="preserve">. </w:t>
            </w:r>
            <w:r w:rsidR="00A17159">
              <w:t>Орієнтовна кількість отримувачів такої соціальної послуги у перший рік складає 1000 осіб</w:t>
            </w:r>
          </w:p>
        </w:tc>
        <w:tc>
          <w:tcPr>
            <w:tcW w:w="1716" w:type="dxa"/>
          </w:tcPr>
          <w:p w:rsidR="00FB26E9" w:rsidRDefault="001D27A6">
            <w:pPr>
              <w:rPr>
                <w:sz w:val="23"/>
                <w:szCs w:val="23"/>
              </w:rPr>
            </w:pPr>
            <w:r>
              <w:rPr>
                <w:sz w:val="23"/>
                <w:szCs w:val="23"/>
              </w:rPr>
              <w:t>11 878 490</w:t>
            </w: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tc>
        <w:tc>
          <w:tcPr>
            <w:tcW w:w="1716" w:type="dxa"/>
            <w:gridSpan w:val="2"/>
          </w:tcPr>
          <w:p w:rsidR="00FB26E9" w:rsidRDefault="00826043">
            <w:pPr>
              <w:rPr>
                <w:sz w:val="23"/>
                <w:szCs w:val="23"/>
              </w:rPr>
            </w:pPr>
            <w:r>
              <w:rPr>
                <w:sz w:val="23"/>
                <w:szCs w:val="23"/>
              </w:rPr>
              <w:t>0</w:t>
            </w: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tc>
        <w:tc>
          <w:tcPr>
            <w:tcW w:w="2027" w:type="dxa"/>
            <w:gridSpan w:val="2"/>
          </w:tcPr>
          <w:p w:rsidR="00FB26E9" w:rsidRDefault="001D27A6">
            <w:pPr>
              <w:rPr>
                <w:sz w:val="23"/>
                <w:szCs w:val="23"/>
              </w:rPr>
            </w:pPr>
            <w:r>
              <w:rPr>
                <w:sz w:val="23"/>
                <w:szCs w:val="23"/>
              </w:rPr>
              <w:t>59 392 450</w:t>
            </w: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p w:rsidR="00FB26E9" w:rsidRDefault="00FB26E9">
            <w:pPr>
              <w:rPr>
                <w:sz w:val="23"/>
                <w:szCs w:val="23"/>
              </w:rPr>
            </w:pPr>
          </w:p>
        </w:tc>
      </w:tr>
      <w:tr w:rsidR="00FB26E9">
        <w:tc>
          <w:tcPr>
            <w:tcW w:w="1179" w:type="dxa"/>
          </w:tcPr>
          <w:p w:rsidR="00FB26E9" w:rsidRDefault="00826043">
            <w:pPr>
              <w:spacing w:after="150"/>
              <w:jc w:val="both"/>
              <w:rPr>
                <w:sz w:val="23"/>
                <w:szCs w:val="23"/>
              </w:rPr>
            </w:pPr>
            <w:r>
              <w:rPr>
                <w:sz w:val="23"/>
                <w:szCs w:val="23"/>
              </w:rPr>
              <w:lastRenderedPageBreak/>
              <w:t>7.</w:t>
            </w:r>
          </w:p>
        </w:tc>
        <w:tc>
          <w:tcPr>
            <w:tcW w:w="3422" w:type="dxa"/>
          </w:tcPr>
          <w:p w:rsidR="00FB26E9" w:rsidRDefault="00826043">
            <w:r>
              <w:rPr>
                <w:sz w:val="23"/>
                <w:szCs w:val="23"/>
              </w:rPr>
              <w:t>Разом, гривень Формула: (сума рядків 1 + 2 + 3 + 4 + 5)</w:t>
            </w:r>
          </w:p>
        </w:tc>
        <w:tc>
          <w:tcPr>
            <w:tcW w:w="1716" w:type="dxa"/>
          </w:tcPr>
          <w:p w:rsidR="00FB26E9" w:rsidRDefault="00826043">
            <w:pPr>
              <w:rPr>
                <w:sz w:val="23"/>
                <w:szCs w:val="23"/>
              </w:rPr>
            </w:pPr>
            <w:r>
              <w:rPr>
                <w:sz w:val="23"/>
                <w:szCs w:val="23"/>
              </w:rPr>
              <w:t>0</w:t>
            </w:r>
          </w:p>
        </w:tc>
        <w:tc>
          <w:tcPr>
            <w:tcW w:w="1716" w:type="dxa"/>
            <w:gridSpan w:val="2"/>
          </w:tcPr>
          <w:p w:rsidR="00FB26E9" w:rsidRDefault="00826043">
            <w:pPr>
              <w:rPr>
                <w:sz w:val="23"/>
                <w:szCs w:val="23"/>
              </w:rPr>
            </w:pPr>
            <w:r>
              <w:rPr>
                <w:sz w:val="23"/>
                <w:szCs w:val="23"/>
              </w:rPr>
              <w:t>0</w:t>
            </w:r>
          </w:p>
        </w:tc>
        <w:tc>
          <w:tcPr>
            <w:tcW w:w="2027" w:type="dxa"/>
            <w:gridSpan w:val="2"/>
          </w:tcPr>
          <w:p w:rsidR="00FB26E9" w:rsidRDefault="00826043">
            <w:pPr>
              <w:rPr>
                <w:sz w:val="23"/>
                <w:szCs w:val="23"/>
              </w:rPr>
            </w:pPr>
            <w:r>
              <w:rPr>
                <w:sz w:val="23"/>
                <w:szCs w:val="23"/>
              </w:rPr>
              <w:t>0</w:t>
            </w:r>
          </w:p>
        </w:tc>
      </w:tr>
      <w:tr w:rsidR="00FB26E9">
        <w:tc>
          <w:tcPr>
            <w:tcW w:w="1179" w:type="dxa"/>
          </w:tcPr>
          <w:p w:rsidR="00FB26E9" w:rsidRDefault="00826043">
            <w:pPr>
              <w:spacing w:after="150"/>
              <w:jc w:val="both"/>
              <w:rPr>
                <w:sz w:val="23"/>
                <w:szCs w:val="23"/>
              </w:rPr>
            </w:pPr>
            <w:r>
              <w:rPr>
                <w:sz w:val="23"/>
                <w:szCs w:val="23"/>
              </w:rPr>
              <w:t>8.</w:t>
            </w:r>
          </w:p>
        </w:tc>
        <w:tc>
          <w:tcPr>
            <w:tcW w:w="3422" w:type="dxa"/>
          </w:tcPr>
          <w:p w:rsidR="00FB26E9" w:rsidRDefault="00826043">
            <w:pPr>
              <w:rPr>
                <w:b/>
                <w:sz w:val="23"/>
                <w:szCs w:val="23"/>
              </w:rPr>
            </w:pPr>
            <w:r>
              <w:rPr>
                <w:sz w:val="23"/>
                <w:szCs w:val="23"/>
              </w:rPr>
              <w:t>Кількість суб’єктів господарювання, що повинні виконати вимоги регулювання, одиниць</w:t>
            </w:r>
          </w:p>
        </w:tc>
        <w:tc>
          <w:tcPr>
            <w:tcW w:w="5459" w:type="dxa"/>
            <w:gridSpan w:val="5"/>
          </w:tcPr>
          <w:p w:rsidR="00FB26E9" w:rsidRPr="0032752B" w:rsidRDefault="001D4226">
            <w:pPr>
              <w:jc w:val="center"/>
              <w:rPr>
                <w:color w:val="333333"/>
              </w:rPr>
            </w:pPr>
            <w:r w:rsidRPr="0032752B">
              <w:rPr>
                <w:color w:val="333333"/>
              </w:rPr>
              <w:t>2011</w:t>
            </w:r>
          </w:p>
          <w:p w:rsidR="00FB26E9" w:rsidRDefault="00826043" w:rsidP="001D4226">
            <w:pPr>
              <w:jc w:val="center"/>
              <w:rPr>
                <w:sz w:val="23"/>
                <w:szCs w:val="23"/>
              </w:rPr>
            </w:pPr>
            <w:r w:rsidRPr="0032752B">
              <w:rPr>
                <w:color w:val="333333"/>
              </w:rPr>
              <w:t>(</w:t>
            </w:r>
            <w:r w:rsidR="001D4226" w:rsidRPr="0032752B">
              <w:rPr>
                <w:color w:val="333333"/>
              </w:rPr>
              <w:t>843</w:t>
            </w:r>
            <w:r w:rsidRPr="0032752B">
              <w:rPr>
                <w:color w:val="333333"/>
              </w:rPr>
              <w:t>+</w:t>
            </w:r>
            <w:r w:rsidR="001D4226" w:rsidRPr="0032752B">
              <w:rPr>
                <w:color w:val="333333"/>
              </w:rPr>
              <w:t>1168</w:t>
            </w:r>
            <w:r w:rsidRPr="0032752B">
              <w:rPr>
                <w:color w:val="333333"/>
              </w:rPr>
              <w:t>)</w:t>
            </w:r>
          </w:p>
        </w:tc>
      </w:tr>
      <w:tr w:rsidR="00FB26E9">
        <w:tc>
          <w:tcPr>
            <w:tcW w:w="1179" w:type="dxa"/>
          </w:tcPr>
          <w:p w:rsidR="00FB26E9" w:rsidRDefault="00826043">
            <w:pPr>
              <w:spacing w:after="150"/>
              <w:jc w:val="both"/>
              <w:rPr>
                <w:sz w:val="23"/>
                <w:szCs w:val="23"/>
              </w:rPr>
            </w:pPr>
            <w:r>
              <w:rPr>
                <w:sz w:val="23"/>
                <w:szCs w:val="23"/>
              </w:rPr>
              <w:t>9.</w:t>
            </w:r>
          </w:p>
        </w:tc>
        <w:tc>
          <w:tcPr>
            <w:tcW w:w="3422" w:type="dxa"/>
          </w:tcPr>
          <w:p w:rsidR="00FB26E9" w:rsidRDefault="00826043">
            <w:pPr>
              <w:rPr>
                <w:sz w:val="23"/>
                <w:szCs w:val="23"/>
              </w:rPr>
            </w:pPr>
            <w:r>
              <w:rPr>
                <w:b/>
                <w:sz w:val="23"/>
                <w:szCs w:val="23"/>
              </w:rPr>
              <w:t>Сумарно, гривень</w:t>
            </w:r>
          </w:p>
        </w:tc>
        <w:tc>
          <w:tcPr>
            <w:tcW w:w="1819" w:type="dxa"/>
            <w:gridSpan w:val="2"/>
          </w:tcPr>
          <w:p w:rsidR="001D27A6" w:rsidRDefault="001D27A6" w:rsidP="001D27A6">
            <w:pPr>
              <w:rPr>
                <w:sz w:val="23"/>
                <w:szCs w:val="23"/>
              </w:rPr>
            </w:pPr>
            <w:r>
              <w:rPr>
                <w:sz w:val="23"/>
                <w:szCs w:val="23"/>
              </w:rPr>
              <w:t>11 878 490</w:t>
            </w:r>
          </w:p>
          <w:p w:rsidR="00FB26E9" w:rsidRDefault="00FB26E9">
            <w:pPr>
              <w:jc w:val="center"/>
              <w:rPr>
                <w:color w:val="333333"/>
              </w:rPr>
            </w:pPr>
          </w:p>
        </w:tc>
        <w:tc>
          <w:tcPr>
            <w:tcW w:w="1820" w:type="dxa"/>
            <w:gridSpan w:val="2"/>
          </w:tcPr>
          <w:p w:rsidR="00FB26E9" w:rsidRDefault="00826043">
            <w:pPr>
              <w:jc w:val="center"/>
              <w:rPr>
                <w:color w:val="333333"/>
              </w:rPr>
            </w:pPr>
            <w:r>
              <w:rPr>
                <w:color w:val="333333"/>
              </w:rPr>
              <w:t>0</w:t>
            </w:r>
          </w:p>
        </w:tc>
        <w:tc>
          <w:tcPr>
            <w:tcW w:w="1820" w:type="dxa"/>
          </w:tcPr>
          <w:p w:rsidR="001D27A6" w:rsidRDefault="001D27A6" w:rsidP="001D27A6">
            <w:pPr>
              <w:rPr>
                <w:sz w:val="23"/>
                <w:szCs w:val="23"/>
              </w:rPr>
            </w:pPr>
            <w:r>
              <w:rPr>
                <w:sz w:val="23"/>
                <w:szCs w:val="23"/>
              </w:rPr>
              <w:t>59 392 450</w:t>
            </w:r>
          </w:p>
          <w:p w:rsidR="00FB26E9" w:rsidRDefault="00FB26E9">
            <w:pPr>
              <w:jc w:val="center"/>
              <w:rPr>
                <w:color w:val="333333"/>
              </w:rPr>
            </w:pPr>
          </w:p>
        </w:tc>
      </w:tr>
      <w:tr w:rsidR="00FB26E9">
        <w:tc>
          <w:tcPr>
            <w:tcW w:w="10060" w:type="dxa"/>
            <w:gridSpan w:val="7"/>
          </w:tcPr>
          <w:p w:rsidR="00FB26E9" w:rsidRDefault="00826043">
            <w:pPr>
              <w:jc w:val="center"/>
              <w:rPr>
                <w:color w:val="333333"/>
              </w:rPr>
            </w:pPr>
            <w:r>
              <w:rPr>
                <w:b/>
                <w:sz w:val="23"/>
                <w:szCs w:val="23"/>
              </w:rPr>
              <w:t>Оцінка вартості адміністративних процедур суб’єктів малого підприємництва щодо виконання регулювання та звітування</w:t>
            </w:r>
          </w:p>
        </w:tc>
      </w:tr>
      <w:tr w:rsidR="00FB26E9">
        <w:tc>
          <w:tcPr>
            <w:tcW w:w="1179" w:type="dxa"/>
          </w:tcPr>
          <w:p w:rsidR="00FB26E9" w:rsidRDefault="00826043">
            <w:pPr>
              <w:spacing w:after="150"/>
              <w:jc w:val="both"/>
            </w:pPr>
            <w:r>
              <w:t>1</w:t>
            </w:r>
          </w:p>
        </w:tc>
        <w:tc>
          <w:tcPr>
            <w:tcW w:w="3422" w:type="dxa"/>
          </w:tcPr>
          <w:p w:rsidR="00FB26E9" w:rsidRDefault="00826043">
            <w:pPr>
              <w:jc w:val="both"/>
            </w:pPr>
            <w:r>
              <w:t xml:space="preserve">Ознайомлення з регулюванням діяльності у сфері соціальних послуг 48,0 гривень, </w:t>
            </w:r>
          </w:p>
          <w:p w:rsidR="00FB26E9" w:rsidRDefault="00826043" w:rsidP="000C6181">
            <w:pPr>
              <w:jc w:val="both"/>
            </w:pPr>
            <w:r>
              <w:rPr>
                <w:i/>
              </w:rPr>
              <w:t>оціночно</w:t>
            </w:r>
            <w:r>
              <w:t>: (</w:t>
            </w:r>
            <w:r w:rsidR="000C6181">
              <w:t>1</w:t>
            </w:r>
            <w:r>
              <w:t xml:space="preserve"> год. × 48,0 грн*) </w:t>
            </w:r>
          </w:p>
        </w:tc>
        <w:tc>
          <w:tcPr>
            <w:tcW w:w="1716" w:type="dxa"/>
          </w:tcPr>
          <w:p w:rsidR="00FB26E9" w:rsidRDefault="00826043">
            <w:pPr>
              <w:spacing w:after="150"/>
              <w:jc w:val="both"/>
              <w:rPr>
                <w:sz w:val="23"/>
                <w:szCs w:val="23"/>
              </w:rPr>
            </w:pPr>
            <w:r>
              <w:rPr>
                <w:sz w:val="23"/>
                <w:szCs w:val="23"/>
              </w:rPr>
              <w:t>48,0</w:t>
            </w:r>
          </w:p>
        </w:tc>
        <w:tc>
          <w:tcPr>
            <w:tcW w:w="1716" w:type="dxa"/>
            <w:gridSpan w:val="2"/>
          </w:tcPr>
          <w:p w:rsidR="00FB26E9" w:rsidRDefault="00826043">
            <w:pPr>
              <w:spacing w:after="150"/>
              <w:jc w:val="both"/>
              <w:rPr>
                <w:sz w:val="23"/>
                <w:szCs w:val="23"/>
              </w:rPr>
            </w:pPr>
            <w:r>
              <w:rPr>
                <w:sz w:val="23"/>
                <w:szCs w:val="23"/>
              </w:rPr>
              <w:t>0</w:t>
            </w:r>
          </w:p>
        </w:tc>
        <w:tc>
          <w:tcPr>
            <w:tcW w:w="2027" w:type="dxa"/>
            <w:gridSpan w:val="2"/>
          </w:tcPr>
          <w:p w:rsidR="00FB26E9" w:rsidRDefault="00826043">
            <w:pPr>
              <w:spacing w:after="150"/>
              <w:jc w:val="both"/>
              <w:rPr>
                <w:sz w:val="23"/>
                <w:szCs w:val="23"/>
              </w:rPr>
            </w:pPr>
            <w:r>
              <w:rPr>
                <w:sz w:val="23"/>
                <w:szCs w:val="23"/>
              </w:rPr>
              <w:t>240,0</w:t>
            </w:r>
          </w:p>
        </w:tc>
      </w:tr>
      <w:tr w:rsidR="00FB26E9">
        <w:tc>
          <w:tcPr>
            <w:tcW w:w="1179" w:type="dxa"/>
          </w:tcPr>
          <w:p w:rsidR="00FB26E9" w:rsidRDefault="00826043">
            <w:pPr>
              <w:spacing w:after="150"/>
              <w:jc w:val="both"/>
            </w:pPr>
            <w:r>
              <w:t>2.</w:t>
            </w:r>
          </w:p>
        </w:tc>
        <w:tc>
          <w:tcPr>
            <w:tcW w:w="3422" w:type="dxa"/>
          </w:tcPr>
          <w:p w:rsidR="00FB26E9" w:rsidRDefault="00826043">
            <w:pPr>
              <w:jc w:val="both"/>
              <w:rPr>
                <w:sz w:val="23"/>
                <w:szCs w:val="23"/>
              </w:rPr>
            </w:pPr>
            <w:r>
              <w:rPr>
                <w:sz w:val="23"/>
                <w:szCs w:val="23"/>
              </w:rPr>
              <w:t xml:space="preserve">Витрати часу на оцінювання потреб отримувача соціальних послуг, складання індивідуального плану та укладання договору між надавачем соціальних послуг та отримувачем соціальної послуги 144 гривень, </w:t>
            </w:r>
          </w:p>
          <w:p w:rsidR="00FB26E9" w:rsidRDefault="00826043">
            <w:pPr>
              <w:jc w:val="both"/>
            </w:pPr>
            <w:r>
              <w:rPr>
                <w:i/>
                <w:sz w:val="23"/>
                <w:szCs w:val="23"/>
              </w:rPr>
              <w:t>оціночно</w:t>
            </w:r>
            <w:r>
              <w:rPr>
                <w:sz w:val="23"/>
                <w:szCs w:val="23"/>
              </w:rPr>
              <w:t xml:space="preserve">: (3 год. × </w:t>
            </w:r>
            <w:r>
              <w:t>48,00</w:t>
            </w:r>
            <w:r>
              <w:rPr>
                <w:sz w:val="23"/>
                <w:szCs w:val="23"/>
              </w:rPr>
              <w:t xml:space="preserve"> грн*)</w:t>
            </w:r>
          </w:p>
        </w:tc>
        <w:tc>
          <w:tcPr>
            <w:tcW w:w="1716" w:type="dxa"/>
          </w:tcPr>
          <w:p w:rsidR="00FB26E9" w:rsidRDefault="00826043">
            <w:pPr>
              <w:spacing w:after="150"/>
              <w:jc w:val="both"/>
              <w:rPr>
                <w:sz w:val="23"/>
                <w:szCs w:val="23"/>
              </w:rPr>
            </w:pPr>
            <w:r>
              <w:rPr>
                <w:sz w:val="23"/>
                <w:szCs w:val="23"/>
              </w:rPr>
              <w:t>144,0</w:t>
            </w:r>
          </w:p>
        </w:tc>
        <w:tc>
          <w:tcPr>
            <w:tcW w:w="1716" w:type="dxa"/>
            <w:gridSpan w:val="2"/>
          </w:tcPr>
          <w:p w:rsidR="00FB26E9" w:rsidRDefault="00826043">
            <w:pPr>
              <w:spacing w:after="150"/>
              <w:jc w:val="both"/>
              <w:rPr>
                <w:sz w:val="23"/>
                <w:szCs w:val="23"/>
              </w:rPr>
            </w:pPr>
            <w:r>
              <w:rPr>
                <w:sz w:val="23"/>
                <w:szCs w:val="23"/>
              </w:rPr>
              <w:t>0</w:t>
            </w:r>
          </w:p>
        </w:tc>
        <w:tc>
          <w:tcPr>
            <w:tcW w:w="2027" w:type="dxa"/>
            <w:gridSpan w:val="2"/>
          </w:tcPr>
          <w:p w:rsidR="00FB26E9" w:rsidRDefault="00826043">
            <w:pPr>
              <w:spacing w:after="150"/>
              <w:jc w:val="both"/>
              <w:rPr>
                <w:sz w:val="23"/>
                <w:szCs w:val="23"/>
              </w:rPr>
            </w:pPr>
            <w:r>
              <w:rPr>
                <w:sz w:val="23"/>
                <w:szCs w:val="23"/>
              </w:rPr>
              <w:t>720,0</w:t>
            </w:r>
          </w:p>
        </w:tc>
      </w:tr>
      <w:tr w:rsidR="00FB26E9">
        <w:tc>
          <w:tcPr>
            <w:tcW w:w="1179" w:type="dxa"/>
          </w:tcPr>
          <w:p w:rsidR="00FB26E9" w:rsidRDefault="00F35245">
            <w:pPr>
              <w:spacing w:after="150"/>
              <w:jc w:val="both"/>
            </w:pPr>
            <w:r>
              <w:t>3.</w:t>
            </w:r>
          </w:p>
        </w:tc>
        <w:tc>
          <w:tcPr>
            <w:tcW w:w="3422" w:type="dxa"/>
          </w:tcPr>
          <w:p w:rsidR="00F35245" w:rsidRPr="00F35245" w:rsidRDefault="00F35245" w:rsidP="00F35245">
            <w:pPr>
              <w:pStyle w:val="Default"/>
              <w:jc w:val="both"/>
              <w:rPr>
                <w:sz w:val="23"/>
                <w:szCs w:val="23"/>
              </w:rPr>
            </w:pPr>
            <w:r>
              <w:rPr>
                <w:sz w:val="23"/>
                <w:szCs w:val="23"/>
              </w:rPr>
              <w:t xml:space="preserve">Моніторинг та оцінка якості надання соціальної послуги (у т.ч. подання звітності раз на рік), </w:t>
            </w:r>
            <w:r>
              <w:rPr>
                <w:i/>
                <w:iCs/>
                <w:sz w:val="23"/>
                <w:szCs w:val="23"/>
              </w:rPr>
              <w:t xml:space="preserve">оціночно </w:t>
            </w:r>
            <w:r w:rsidRPr="00F35245">
              <w:rPr>
                <w:iCs/>
                <w:sz w:val="23"/>
                <w:szCs w:val="23"/>
              </w:rPr>
              <w:t>(</w:t>
            </w:r>
            <w:r w:rsidR="000C6181">
              <w:rPr>
                <w:iCs/>
                <w:sz w:val="23"/>
                <w:szCs w:val="23"/>
              </w:rPr>
              <w:t>2</w:t>
            </w:r>
            <w:r w:rsidRPr="00F35245">
              <w:rPr>
                <w:iCs/>
                <w:sz w:val="23"/>
                <w:szCs w:val="23"/>
              </w:rPr>
              <w:t xml:space="preserve"> год. Х 48 грн)</w:t>
            </w:r>
          </w:p>
          <w:p w:rsidR="00FB26E9" w:rsidRDefault="00FB26E9">
            <w:pPr>
              <w:jc w:val="both"/>
              <w:rPr>
                <w:sz w:val="23"/>
                <w:szCs w:val="23"/>
                <w:highlight w:val="green"/>
              </w:rPr>
            </w:pPr>
          </w:p>
        </w:tc>
        <w:tc>
          <w:tcPr>
            <w:tcW w:w="1716" w:type="dxa"/>
          </w:tcPr>
          <w:p w:rsidR="00FB26E9" w:rsidRDefault="000C6181">
            <w:pPr>
              <w:spacing w:after="150"/>
              <w:jc w:val="both"/>
              <w:rPr>
                <w:sz w:val="23"/>
                <w:szCs w:val="23"/>
              </w:rPr>
            </w:pPr>
            <w:r>
              <w:rPr>
                <w:sz w:val="23"/>
                <w:szCs w:val="23"/>
              </w:rPr>
              <w:t>96</w:t>
            </w:r>
            <w:r w:rsidR="00F35245">
              <w:rPr>
                <w:sz w:val="23"/>
                <w:szCs w:val="23"/>
              </w:rPr>
              <w:t>,0</w:t>
            </w:r>
          </w:p>
        </w:tc>
        <w:tc>
          <w:tcPr>
            <w:tcW w:w="1716" w:type="dxa"/>
            <w:gridSpan w:val="2"/>
          </w:tcPr>
          <w:p w:rsidR="00FB26E9" w:rsidRDefault="00FB26E9">
            <w:pPr>
              <w:spacing w:after="150"/>
              <w:jc w:val="both"/>
              <w:rPr>
                <w:sz w:val="23"/>
                <w:szCs w:val="23"/>
              </w:rPr>
            </w:pPr>
          </w:p>
        </w:tc>
        <w:tc>
          <w:tcPr>
            <w:tcW w:w="2027" w:type="dxa"/>
            <w:gridSpan w:val="2"/>
          </w:tcPr>
          <w:p w:rsidR="00FB26E9" w:rsidRDefault="000C6181">
            <w:pPr>
              <w:spacing w:after="150"/>
              <w:jc w:val="both"/>
              <w:rPr>
                <w:sz w:val="23"/>
                <w:szCs w:val="23"/>
              </w:rPr>
            </w:pPr>
            <w:r>
              <w:rPr>
                <w:sz w:val="23"/>
                <w:szCs w:val="23"/>
              </w:rPr>
              <w:t>480</w:t>
            </w:r>
            <w:r w:rsidR="00F35245">
              <w:rPr>
                <w:sz w:val="23"/>
                <w:szCs w:val="23"/>
              </w:rPr>
              <w:t>,0</w:t>
            </w:r>
          </w:p>
        </w:tc>
      </w:tr>
      <w:tr w:rsidR="00FB26E9">
        <w:tc>
          <w:tcPr>
            <w:tcW w:w="1179" w:type="dxa"/>
          </w:tcPr>
          <w:p w:rsidR="00FB26E9" w:rsidRDefault="00F35245">
            <w:pPr>
              <w:spacing w:after="150"/>
              <w:jc w:val="both"/>
            </w:pPr>
            <w:r>
              <w:t>4.</w:t>
            </w:r>
          </w:p>
        </w:tc>
        <w:tc>
          <w:tcPr>
            <w:tcW w:w="3422" w:type="dxa"/>
          </w:tcPr>
          <w:p w:rsidR="00FB26E9" w:rsidRDefault="00826043">
            <w:pPr>
              <w:rPr>
                <w:sz w:val="23"/>
                <w:szCs w:val="23"/>
              </w:rPr>
            </w:pPr>
            <w:r>
              <w:rPr>
                <w:sz w:val="23"/>
                <w:szCs w:val="23"/>
              </w:rPr>
              <w:t>Разом, гривень</w:t>
            </w:r>
          </w:p>
          <w:p w:rsidR="00FB26E9" w:rsidRDefault="00FB26E9">
            <w:pPr>
              <w:jc w:val="both"/>
              <w:rPr>
                <w:sz w:val="23"/>
                <w:szCs w:val="23"/>
              </w:rPr>
            </w:pPr>
          </w:p>
        </w:tc>
        <w:tc>
          <w:tcPr>
            <w:tcW w:w="1716" w:type="dxa"/>
          </w:tcPr>
          <w:p w:rsidR="00FB26E9" w:rsidRDefault="000C6181">
            <w:pPr>
              <w:spacing w:after="150"/>
              <w:jc w:val="both"/>
              <w:rPr>
                <w:sz w:val="23"/>
                <w:szCs w:val="23"/>
              </w:rPr>
            </w:pPr>
            <w:r>
              <w:rPr>
                <w:sz w:val="23"/>
                <w:szCs w:val="23"/>
              </w:rPr>
              <w:t>288</w:t>
            </w:r>
            <w:r w:rsidR="00826043">
              <w:rPr>
                <w:sz w:val="23"/>
                <w:szCs w:val="23"/>
              </w:rPr>
              <w:t>,0</w:t>
            </w:r>
          </w:p>
        </w:tc>
        <w:tc>
          <w:tcPr>
            <w:tcW w:w="1716" w:type="dxa"/>
            <w:gridSpan w:val="2"/>
          </w:tcPr>
          <w:p w:rsidR="00FB26E9" w:rsidRDefault="00826043">
            <w:pPr>
              <w:spacing w:after="150"/>
              <w:jc w:val="both"/>
              <w:rPr>
                <w:sz w:val="23"/>
                <w:szCs w:val="23"/>
              </w:rPr>
            </w:pPr>
            <w:r>
              <w:rPr>
                <w:sz w:val="23"/>
                <w:szCs w:val="23"/>
              </w:rPr>
              <w:t>Х</w:t>
            </w:r>
          </w:p>
        </w:tc>
        <w:tc>
          <w:tcPr>
            <w:tcW w:w="2027" w:type="dxa"/>
            <w:gridSpan w:val="2"/>
          </w:tcPr>
          <w:p w:rsidR="00FB26E9" w:rsidRDefault="00F35245">
            <w:pPr>
              <w:spacing w:after="150"/>
              <w:jc w:val="both"/>
              <w:rPr>
                <w:sz w:val="23"/>
                <w:szCs w:val="23"/>
              </w:rPr>
            </w:pPr>
            <w:r>
              <w:rPr>
                <w:sz w:val="23"/>
                <w:szCs w:val="23"/>
              </w:rPr>
              <w:t>1920</w:t>
            </w:r>
            <w:r w:rsidR="00826043">
              <w:rPr>
                <w:sz w:val="23"/>
                <w:szCs w:val="23"/>
              </w:rPr>
              <w:t>,0</w:t>
            </w:r>
          </w:p>
        </w:tc>
      </w:tr>
      <w:tr w:rsidR="00FB26E9">
        <w:tc>
          <w:tcPr>
            <w:tcW w:w="1179" w:type="dxa"/>
          </w:tcPr>
          <w:p w:rsidR="00FB26E9" w:rsidRDefault="00826043">
            <w:pPr>
              <w:spacing w:after="150"/>
              <w:jc w:val="both"/>
            </w:pPr>
            <w:r>
              <w:t>4.</w:t>
            </w:r>
          </w:p>
        </w:tc>
        <w:tc>
          <w:tcPr>
            <w:tcW w:w="3422" w:type="dxa"/>
          </w:tcPr>
          <w:p w:rsidR="00FB26E9" w:rsidRDefault="00826043">
            <w:pPr>
              <w:jc w:val="both"/>
              <w:rPr>
                <w:sz w:val="23"/>
                <w:szCs w:val="23"/>
              </w:rPr>
            </w:pPr>
            <w:r>
              <w:rPr>
                <w:sz w:val="23"/>
                <w:szCs w:val="23"/>
              </w:rPr>
              <w:t>Кількість суб’єктів малого підприємництва, що повинні виконати вимоги регулювання, одиниць</w:t>
            </w:r>
          </w:p>
        </w:tc>
        <w:tc>
          <w:tcPr>
            <w:tcW w:w="1716" w:type="dxa"/>
          </w:tcPr>
          <w:p w:rsidR="00FB26E9" w:rsidRDefault="000C6181">
            <w:pPr>
              <w:spacing w:after="150"/>
              <w:jc w:val="both"/>
              <w:rPr>
                <w:sz w:val="23"/>
                <w:szCs w:val="23"/>
              </w:rPr>
            </w:pPr>
            <w:r>
              <w:rPr>
                <w:color w:val="333333"/>
              </w:rPr>
              <w:t>843</w:t>
            </w:r>
          </w:p>
        </w:tc>
        <w:tc>
          <w:tcPr>
            <w:tcW w:w="1716" w:type="dxa"/>
            <w:gridSpan w:val="2"/>
          </w:tcPr>
          <w:p w:rsidR="00FB26E9" w:rsidRDefault="00826043">
            <w:pPr>
              <w:spacing w:after="150"/>
              <w:jc w:val="both"/>
              <w:rPr>
                <w:sz w:val="23"/>
                <w:szCs w:val="23"/>
              </w:rPr>
            </w:pPr>
            <w:r>
              <w:rPr>
                <w:sz w:val="23"/>
                <w:szCs w:val="23"/>
              </w:rPr>
              <w:t>Х</w:t>
            </w:r>
          </w:p>
        </w:tc>
        <w:tc>
          <w:tcPr>
            <w:tcW w:w="2027" w:type="dxa"/>
            <w:gridSpan w:val="2"/>
          </w:tcPr>
          <w:p w:rsidR="00FB26E9" w:rsidRDefault="00826043">
            <w:pPr>
              <w:spacing w:after="150"/>
              <w:jc w:val="both"/>
              <w:rPr>
                <w:sz w:val="23"/>
                <w:szCs w:val="23"/>
              </w:rPr>
            </w:pPr>
            <w:r>
              <w:rPr>
                <w:sz w:val="23"/>
                <w:szCs w:val="23"/>
              </w:rPr>
              <w:t>Х</w:t>
            </w:r>
          </w:p>
        </w:tc>
      </w:tr>
      <w:tr w:rsidR="00FB26E9">
        <w:tc>
          <w:tcPr>
            <w:tcW w:w="1179" w:type="dxa"/>
          </w:tcPr>
          <w:p w:rsidR="00FB26E9" w:rsidRDefault="00826043">
            <w:pPr>
              <w:spacing w:after="150"/>
              <w:jc w:val="both"/>
            </w:pPr>
            <w:r>
              <w:t>5.</w:t>
            </w:r>
          </w:p>
        </w:tc>
        <w:tc>
          <w:tcPr>
            <w:tcW w:w="3422" w:type="dxa"/>
          </w:tcPr>
          <w:p w:rsidR="00FB26E9" w:rsidRDefault="00826043">
            <w:pPr>
              <w:spacing w:before="150" w:after="150"/>
              <w:rPr>
                <w:sz w:val="23"/>
                <w:szCs w:val="23"/>
              </w:rPr>
            </w:pPr>
            <w:r>
              <w:rPr>
                <w:sz w:val="23"/>
                <w:szCs w:val="23"/>
              </w:rPr>
              <w:t>Сумарно, гривень</w:t>
            </w:r>
          </w:p>
        </w:tc>
        <w:tc>
          <w:tcPr>
            <w:tcW w:w="1716" w:type="dxa"/>
          </w:tcPr>
          <w:p w:rsidR="00FB26E9" w:rsidRDefault="0032752B">
            <w:pPr>
              <w:spacing w:after="150"/>
              <w:jc w:val="both"/>
              <w:rPr>
                <w:color w:val="333333"/>
              </w:rPr>
            </w:pPr>
            <w:r>
              <w:rPr>
                <w:color w:val="333333"/>
              </w:rPr>
              <w:t>242 784</w:t>
            </w:r>
            <w:r w:rsidR="00826043">
              <w:rPr>
                <w:color w:val="333333"/>
              </w:rPr>
              <w:t>,0</w:t>
            </w:r>
          </w:p>
        </w:tc>
        <w:tc>
          <w:tcPr>
            <w:tcW w:w="1716" w:type="dxa"/>
            <w:gridSpan w:val="2"/>
          </w:tcPr>
          <w:p w:rsidR="00FB26E9" w:rsidRDefault="00826043">
            <w:pPr>
              <w:spacing w:after="150"/>
              <w:jc w:val="both"/>
              <w:rPr>
                <w:sz w:val="23"/>
                <w:szCs w:val="23"/>
              </w:rPr>
            </w:pPr>
            <w:r>
              <w:rPr>
                <w:sz w:val="23"/>
                <w:szCs w:val="23"/>
              </w:rPr>
              <w:t>Х</w:t>
            </w:r>
          </w:p>
        </w:tc>
        <w:tc>
          <w:tcPr>
            <w:tcW w:w="2027" w:type="dxa"/>
            <w:gridSpan w:val="2"/>
          </w:tcPr>
          <w:p w:rsidR="00FB26E9" w:rsidRDefault="0032752B">
            <w:pPr>
              <w:spacing w:after="150"/>
              <w:jc w:val="both"/>
            </w:pPr>
            <w:r>
              <w:t>1 213 920</w:t>
            </w:r>
            <w:r w:rsidR="00826043">
              <w:t>,0</w:t>
            </w:r>
          </w:p>
        </w:tc>
      </w:tr>
    </w:tbl>
    <w:p w:rsidR="00FB26E9" w:rsidRDefault="00FB26E9">
      <w:pPr>
        <w:shd w:val="clear" w:color="auto" w:fill="FFFFFF"/>
        <w:spacing w:after="150"/>
        <w:ind w:firstLine="450"/>
        <w:jc w:val="both"/>
        <w:rPr>
          <w:color w:val="333333"/>
        </w:rPr>
      </w:pPr>
    </w:p>
    <w:p w:rsidR="00FB26E9" w:rsidRDefault="00826043">
      <w:pPr>
        <w:shd w:val="clear" w:color="auto" w:fill="FFFFFF"/>
        <w:spacing w:after="150"/>
        <w:ind w:firstLine="450"/>
        <w:jc w:val="both"/>
        <w:rPr>
          <w:color w:val="333333"/>
        </w:rPr>
      </w:pPr>
      <w:r>
        <w:rPr>
          <w:color w:val="333333"/>
        </w:rPr>
        <w:t>Бюджетні витрати на адміністрування регулювання суб’єктів малого підприємництва</w:t>
      </w:r>
    </w:p>
    <w:p w:rsidR="00FB26E9" w:rsidRDefault="00826043">
      <w:pPr>
        <w:shd w:val="clear" w:color="auto" w:fill="FFFFFF"/>
        <w:spacing w:after="150"/>
        <w:ind w:firstLine="450"/>
        <w:jc w:val="both"/>
        <w:rPr>
          <w:color w:val="333333"/>
        </w:rPr>
      </w:pPr>
      <w:bookmarkStart w:id="12" w:name="2s8eyo1" w:colFirst="0" w:colLast="0"/>
      <w:bookmarkStart w:id="13" w:name="17dp8vu" w:colFirst="0" w:colLast="0"/>
      <w:bookmarkEnd w:id="12"/>
      <w:bookmarkEnd w:id="13"/>
      <w:r>
        <w:rPr>
          <w:color w:val="333333"/>
        </w:rPr>
        <w:t>Державний орган, для якого здійснюється розрахунок вартості адміністрування регулювання: виконавчі органи сільських, селищних, міських рад, обласні, Київська міська державні адміністрації</w:t>
      </w:r>
    </w:p>
    <w:p w:rsidR="00FB26E9" w:rsidRDefault="00FB26E9">
      <w:pPr>
        <w:shd w:val="clear" w:color="auto" w:fill="FFFFFF"/>
        <w:spacing w:after="150"/>
        <w:ind w:firstLine="450"/>
        <w:jc w:val="both"/>
        <w:rPr>
          <w:color w:val="333333"/>
        </w:rPr>
      </w:pPr>
    </w:p>
    <w:tbl>
      <w:tblPr>
        <w:tblStyle w:val="af"/>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560"/>
        <w:gridCol w:w="1418"/>
        <w:gridCol w:w="1134"/>
        <w:gridCol w:w="1558"/>
        <w:gridCol w:w="1843"/>
      </w:tblGrid>
      <w:tr w:rsidR="00FB26E9">
        <w:tc>
          <w:tcPr>
            <w:tcW w:w="2268" w:type="dxa"/>
          </w:tcPr>
          <w:p w:rsidR="00FB26E9" w:rsidRDefault="00826043">
            <w:pPr>
              <w:jc w:val="center"/>
              <w:rPr>
                <w:sz w:val="23"/>
                <w:szCs w:val="23"/>
              </w:rPr>
            </w:pPr>
            <w:r>
              <w:rPr>
                <w:sz w:val="23"/>
                <w:szCs w:val="23"/>
              </w:rPr>
              <w:t xml:space="preserve">Процедура регулювання суб’єктів малого підприємництва (розрахунок на одного типового суб’єкта господарювання малого підприємництва - за </w:t>
            </w:r>
            <w:r>
              <w:rPr>
                <w:sz w:val="23"/>
                <w:szCs w:val="23"/>
              </w:rPr>
              <w:lastRenderedPageBreak/>
              <w:t>потреби окремо для суб’єктів малого та мікро-підприємництв)</w:t>
            </w:r>
          </w:p>
        </w:tc>
        <w:tc>
          <w:tcPr>
            <w:tcW w:w="1560" w:type="dxa"/>
          </w:tcPr>
          <w:p w:rsidR="00FB26E9" w:rsidRDefault="00826043">
            <w:pPr>
              <w:jc w:val="center"/>
              <w:rPr>
                <w:sz w:val="23"/>
                <w:szCs w:val="23"/>
              </w:rPr>
            </w:pPr>
            <w:r>
              <w:rPr>
                <w:sz w:val="23"/>
                <w:szCs w:val="23"/>
              </w:rPr>
              <w:lastRenderedPageBreak/>
              <w:t>Планові витрати часу на процедуру</w:t>
            </w:r>
          </w:p>
        </w:tc>
        <w:tc>
          <w:tcPr>
            <w:tcW w:w="1418" w:type="dxa"/>
          </w:tcPr>
          <w:p w:rsidR="00FB26E9" w:rsidRDefault="00826043">
            <w:pPr>
              <w:jc w:val="center"/>
              <w:rPr>
                <w:sz w:val="23"/>
                <w:szCs w:val="23"/>
              </w:rPr>
            </w:pPr>
            <w:r>
              <w:rPr>
                <w:sz w:val="23"/>
                <w:szCs w:val="23"/>
              </w:rPr>
              <w:t>Вартість часу співробітника органу державної влади відповідної категорії (заробітна плата, грн)</w:t>
            </w:r>
          </w:p>
        </w:tc>
        <w:tc>
          <w:tcPr>
            <w:tcW w:w="1134" w:type="dxa"/>
          </w:tcPr>
          <w:p w:rsidR="00FB26E9" w:rsidRDefault="00826043">
            <w:pPr>
              <w:jc w:val="center"/>
              <w:rPr>
                <w:sz w:val="23"/>
                <w:szCs w:val="23"/>
              </w:rPr>
            </w:pPr>
            <w:r>
              <w:rPr>
                <w:sz w:val="23"/>
                <w:szCs w:val="23"/>
              </w:rPr>
              <w:t>Оцінка кількості процедур за рік, що припадають на одного суб’єкта</w:t>
            </w:r>
          </w:p>
        </w:tc>
        <w:tc>
          <w:tcPr>
            <w:tcW w:w="1558" w:type="dxa"/>
          </w:tcPr>
          <w:p w:rsidR="00FB26E9" w:rsidRDefault="00826043">
            <w:pPr>
              <w:jc w:val="center"/>
              <w:rPr>
                <w:sz w:val="23"/>
                <w:szCs w:val="23"/>
              </w:rPr>
            </w:pPr>
            <w:r>
              <w:rPr>
                <w:sz w:val="23"/>
                <w:szCs w:val="23"/>
              </w:rPr>
              <w:t>Оцінка кількості  суб’єктів, що підпадають під дію процедури регулювання</w:t>
            </w:r>
          </w:p>
        </w:tc>
        <w:tc>
          <w:tcPr>
            <w:tcW w:w="1843" w:type="dxa"/>
          </w:tcPr>
          <w:p w:rsidR="00FB26E9" w:rsidRDefault="00826043">
            <w:pPr>
              <w:shd w:val="clear" w:color="auto" w:fill="FFFFFF"/>
              <w:ind w:firstLine="29"/>
              <w:jc w:val="center"/>
              <w:rPr>
                <w:sz w:val="23"/>
                <w:szCs w:val="23"/>
              </w:rPr>
            </w:pPr>
            <w:r>
              <w:rPr>
                <w:sz w:val="23"/>
                <w:szCs w:val="23"/>
              </w:rPr>
              <w:t>Витрати на адміністрування регулювання* (за рік), гривень</w:t>
            </w:r>
          </w:p>
        </w:tc>
      </w:tr>
      <w:tr w:rsidR="00FB26E9">
        <w:tc>
          <w:tcPr>
            <w:tcW w:w="2268" w:type="dxa"/>
          </w:tcPr>
          <w:p w:rsidR="00FB26E9" w:rsidRDefault="00826043">
            <w:pPr>
              <w:jc w:val="both"/>
              <w:rPr>
                <w:sz w:val="23"/>
                <w:szCs w:val="23"/>
              </w:rPr>
            </w:pPr>
            <w:r>
              <w:rPr>
                <w:sz w:val="23"/>
                <w:szCs w:val="23"/>
              </w:rPr>
              <w:t>1. Облік суб’єкта господарювання, що перебуває у сфері регулювання</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tc>
          <w:tcPr>
            <w:tcW w:w="2268" w:type="dxa"/>
          </w:tcPr>
          <w:p w:rsidR="00FB26E9" w:rsidRDefault="00826043">
            <w:pPr>
              <w:jc w:val="both"/>
              <w:rPr>
                <w:sz w:val="23"/>
                <w:szCs w:val="23"/>
              </w:rPr>
            </w:pPr>
            <w:r>
              <w:rPr>
                <w:sz w:val="23"/>
                <w:szCs w:val="23"/>
              </w:rPr>
              <w:t>2. Поточний контроль за суб’єктом господарювання, що перебуває у сфері регулювання, у тому числі:</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tc>
          <w:tcPr>
            <w:tcW w:w="2268" w:type="dxa"/>
          </w:tcPr>
          <w:p w:rsidR="00FB26E9" w:rsidRDefault="00826043">
            <w:pPr>
              <w:jc w:val="both"/>
              <w:rPr>
                <w:sz w:val="23"/>
                <w:szCs w:val="23"/>
              </w:rPr>
            </w:pPr>
            <w:r>
              <w:rPr>
                <w:sz w:val="23"/>
                <w:szCs w:val="23"/>
              </w:rPr>
              <w:t>камеральні</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tc>
          <w:tcPr>
            <w:tcW w:w="2268" w:type="dxa"/>
          </w:tcPr>
          <w:p w:rsidR="00FB26E9" w:rsidRDefault="00826043">
            <w:pPr>
              <w:jc w:val="both"/>
              <w:rPr>
                <w:sz w:val="23"/>
                <w:szCs w:val="23"/>
              </w:rPr>
            </w:pPr>
            <w:r>
              <w:rPr>
                <w:sz w:val="23"/>
                <w:szCs w:val="23"/>
              </w:rPr>
              <w:t>виїзні</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tc>
          <w:tcPr>
            <w:tcW w:w="2268" w:type="dxa"/>
          </w:tcPr>
          <w:p w:rsidR="00FB26E9" w:rsidRDefault="00826043">
            <w:pPr>
              <w:jc w:val="both"/>
              <w:rPr>
                <w:sz w:val="23"/>
                <w:szCs w:val="23"/>
              </w:rPr>
            </w:pPr>
            <w:r>
              <w:rPr>
                <w:sz w:val="23"/>
                <w:szCs w:val="23"/>
              </w:rPr>
              <w:t>3. Підготовка, затвердження та опрацювання одного окремого акта про порушення вимог регулювання</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tc>
          <w:tcPr>
            <w:tcW w:w="2268" w:type="dxa"/>
          </w:tcPr>
          <w:p w:rsidR="00FB26E9" w:rsidRDefault="00826043">
            <w:pPr>
              <w:jc w:val="both"/>
              <w:rPr>
                <w:sz w:val="23"/>
                <w:szCs w:val="23"/>
              </w:rPr>
            </w:pPr>
            <w:r>
              <w:rPr>
                <w:sz w:val="23"/>
                <w:szCs w:val="23"/>
              </w:rPr>
              <w:t>4. Підготовка звітності за результатами регулювання</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tc>
          <w:tcPr>
            <w:tcW w:w="2268" w:type="dxa"/>
          </w:tcPr>
          <w:p w:rsidR="00FB26E9" w:rsidRDefault="00826043">
            <w:pPr>
              <w:jc w:val="both"/>
              <w:rPr>
                <w:sz w:val="23"/>
                <w:szCs w:val="23"/>
              </w:rPr>
            </w:pPr>
            <w:r>
              <w:rPr>
                <w:sz w:val="23"/>
                <w:szCs w:val="23"/>
              </w:rPr>
              <w:t>5. реалізація одного окремого рішення щодо порушення вимог регулювання</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tc>
          <w:tcPr>
            <w:tcW w:w="2268" w:type="dxa"/>
          </w:tcPr>
          <w:p w:rsidR="00FB26E9" w:rsidRDefault="00826043">
            <w:pPr>
              <w:jc w:val="both"/>
              <w:rPr>
                <w:sz w:val="23"/>
                <w:szCs w:val="23"/>
              </w:rPr>
            </w:pPr>
            <w:r>
              <w:rPr>
                <w:sz w:val="23"/>
                <w:szCs w:val="23"/>
              </w:rPr>
              <w:t>6. Оскарження одного окремого рішення суб’єктами господарювання</w:t>
            </w:r>
          </w:p>
        </w:tc>
        <w:tc>
          <w:tcPr>
            <w:tcW w:w="1560" w:type="dxa"/>
          </w:tcPr>
          <w:p w:rsidR="00FB26E9" w:rsidRDefault="00826043">
            <w:pPr>
              <w:jc w:val="both"/>
              <w:rPr>
                <w:sz w:val="23"/>
                <w:szCs w:val="23"/>
              </w:rPr>
            </w:pPr>
            <w:r>
              <w:rPr>
                <w:sz w:val="23"/>
                <w:szCs w:val="23"/>
              </w:rPr>
              <w:t>відсутні</w:t>
            </w:r>
          </w:p>
        </w:tc>
        <w:tc>
          <w:tcPr>
            <w:tcW w:w="1418" w:type="dxa"/>
          </w:tcPr>
          <w:p w:rsidR="00FB26E9" w:rsidRDefault="00826043">
            <w:pPr>
              <w:jc w:val="both"/>
              <w:rPr>
                <w:sz w:val="23"/>
                <w:szCs w:val="23"/>
              </w:rPr>
            </w:pPr>
            <w:r>
              <w:rPr>
                <w:sz w:val="23"/>
                <w:szCs w:val="23"/>
              </w:rPr>
              <w:t>відсутні</w:t>
            </w:r>
          </w:p>
        </w:tc>
        <w:tc>
          <w:tcPr>
            <w:tcW w:w="1134" w:type="dxa"/>
          </w:tcPr>
          <w:p w:rsidR="00FB26E9" w:rsidRDefault="00826043">
            <w:pPr>
              <w:jc w:val="both"/>
              <w:rPr>
                <w:sz w:val="23"/>
                <w:szCs w:val="23"/>
              </w:rPr>
            </w:pPr>
            <w:r>
              <w:rPr>
                <w:sz w:val="23"/>
                <w:szCs w:val="23"/>
              </w:rPr>
              <w:t>відсутні</w:t>
            </w:r>
          </w:p>
        </w:tc>
        <w:tc>
          <w:tcPr>
            <w:tcW w:w="1558" w:type="dxa"/>
          </w:tcPr>
          <w:p w:rsidR="00FB26E9" w:rsidRDefault="00826043">
            <w:pPr>
              <w:jc w:val="both"/>
              <w:rPr>
                <w:sz w:val="23"/>
                <w:szCs w:val="23"/>
              </w:rPr>
            </w:pPr>
            <w:r>
              <w:rPr>
                <w:sz w:val="23"/>
                <w:szCs w:val="23"/>
              </w:rPr>
              <w:t>відсутні</w:t>
            </w:r>
          </w:p>
        </w:tc>
        <w:tc>
          <w:tcPr>
            <w:tcW w:w="1843" w:type="dxa"/>
          </w:tcPr>
          <w:p w:rsidR="00FB26E9" w:rsidRDefault="00826043">
            <w:pPr>
              <w:jc w:val="both"/>
              <w:rPr>
                <w:sz w:val="23"/>
                <w:szCs w:val="23"/>
              </w:rPr>
            </w:pPr>
            <w:r>
              <w:rPr>
                <w:sz w:val="23"/>
                <w:szCs w:val="23"/>
              </w:rPr>
              <w:t>відсутні</w:t>
            </w:r>
          </w:p>
        </w:tc>
      </w:tr>
      <w:tr w:rsidR="00FB26E9" w:rsidTr="00E5614D">
        <w:tc>
          <w:tcPr>
            <w:tcW w:w="2268" w:type="dxa"/>
          </w:tcPr>
          <w:p w:rsidR="00FB26E9" w:rsidRDefault="00826043">
            <w:pPr>
              <w:jc w:val="both"/>
              <w:rPr>
                <w:sz w:val="23"/>
                <w:szCs w:val="23"/>
              </w:rPr>
            </w:pPr>
            <w:r>
              <w:rPr>
                <w:sz w:val="23"/>
                <w:szCs w:val="23"/>
              </w:rPr>
              <w:t>7. Інші адміністративні процедури (уточнити):</w:t>
            </w:r>
          </w:p>
          <w:p w:rsidR="00FB26E9" w:rsidRPr="00E5614D" w:rsidRDefault="00E5614D">
            <w:pPr>
              <w:jc w:val="both"/>
              <w:rPr>
                <w:sz w:val="23"/>
                <w:szCs w:val="23"/>
              </w:rPr>
            </w:pPr>
            <w:r>
              <w:rPr>
                <w:sz w:val="23"/>
                <w:szCs w:val="23"/>
              </w:rPr>
              <w:t>о</w:t>
            </w:r>
            <w:r>
              <w:rPr>
                <w:sz w:val="23"/>
                <w:szCs w:val="23"/>
                <w:lang w:val="en-US"/>
              </w:rPr>
              <w:t xml:space="preserve">працювання </w:t>
            </w:r>
            <w:r>
              <w:rPr>
                <w:sz w:val="23"/>
                <w:szCs w:val="23"/>
              </w:rPr>
              <w:t>заявок та прийняття рішень про надання соціальної послуги</w:t>
            </w:r>
          </w:p>
        </w:tc>
        <w:tc>
          <w:tcPr>
            <w:tcW w:w="1560" w:type="dxa"/>
            <w:vAlign w:val="center"/>
          </w:tcPr>
          <w:p w:rsidR="00FB26E9" w:rsidRDefault="00E5614D" w:rsidP="00E5614D">
            <w:pPr>
              <w:jc w:val="center"/>
              <w:rPr>
                <w:sz w:val="23"/>
                <w:szCs w:val="23"/>
              </w:rPr>
            </w:pPr>
            <w:r>
              <w:rPr>
                <w:sz w:val="23"/>
                <w:szCs w:val="23"/>
              </w:rPr>
              <w:t>1,5 год.</w:t>
            </w:r>
          </w:p>
        </w:tc>
        <w:tc>
          <w:tcPr>
            <w:tcW w:w="1418" w:type="dxa"/>
            <w:vAlign w:val="center"/>
          </w:tcPr>
          <w:p w:rsidR="00FB26E9" w:rsidRDefault="00E5614D" w:rsidP="00E5614D">
            <w:pPr>
              <w:jc w:val="center"/>
              <w:rPr>
                <w:sz w:val="23"/>
                <w:szCs w:val="23"/>
              </w:rPr>
            </w:pPr>
            <w:r>
              <w:rPr>
                <w:sz w:val="23"/>
                <w:szCs w:val="23"/>
              </w:rPr>
              <w:t>212,5</w:t>
            </w:r>
          </w:p>
        </w:tc>
        <w:tc>
          <w:tcPr>
            <w:tcW w:w="1134" w:type="dxa"/>
            <w:vAlign w:val="center"/>
          </w:tcPr>
          <w:p w:rsidR="00FB26E9" w:rsidRDefault="00354587" w:rsidP="00E5614D">
            <w:pPr>
              <w:jc w:val="center"/>
              <w:rPr>
                <w:sz w:val="23"/>
                <w:szCs w:val="23"/>
              </w:rPr>
            </w:pPr>
            <w:r>
              <w:rPr>
                <w:sz w:val="23"/>
                <w:szCs w:val="23"/>
              </w:rPr>
              <w:t>3</w:t>
            </w:r>
          </w:p>
        </w:tc>
        <w:tc>
          <w:tcPr>
            <w:tcW w:w="1558" w:type="dxa"/>
            <w:vAlign w:val="center"/>
          </w:tcPr>
          <w:p w:rsidR="00FB26E9" w:rsidRPr="00354587" w:rsidRDefault="00354587" w:rsidP="00E5614D">
            <w:pPr>
              <w:jc w:val="center"/>
              <w:rPr>
                <w:sz w:val="23"/>
                <w:szCs w:val="23"/>
              </w:rPr>
            </w:pPr>
            <w:r w:rsidRPr="00354587">
              <w:rPr>
                <w:sz w:val="23"/>
                <w:szCs w:val="23"/>
              </w:rPr>
              <w:t>843</w:t>
            </w:r>
          </w:p>
        </w:tc>
        <w:tc>
          <w:tcPr>
            <w:tcW w:w="1843" w:type="dxa"/>
            <w:vAlign w:val="center"/>
          </w:tcPr>
          <w:p w:rsidR="00FB26E9" w:rsidRDefault="00354587" w:rsidP="00E5614D">
            <w:pPr>
              <w:jc w:val="center"/>
              <w:rPr>
                <w:sz w:val="23"/>
                <w:szCs w:val="23"/>
              </w:rPr>
            </w:pPr>
            <w:r w:rsidRPr="00354587">
              <w:rPr>
                <w:sz w:val="23"/>
                <w:szCs w:val="23"/>
              </w:rPr>
              <w:t>806 118,75</w:t>
            </w:r>
          </w:p>
        </w:tc>
      </w:tr>
      <w:tr w:rsidR="00354587" w:rsidTr="00E5614D">
        <w:tc>
          <w:tcPr>
            <w:tcW w:w="2268" w:type="dxa"/>
          </w:tcPr>
          <w:p w:rsidR="00354587" w:rsidRDefault="00354587" w:rsidP="00354587">
            <w:pPr>
              <w:jc w:val="both"/>
              <w:rPr>
                <w:sz w:val="23"/>
                <w:szCs w:val="23"/>
              </w:rPr>
            </w:pPr>
            <w:r>
              <w:rPr>
                <w:sz w:val="23"/>
                <w:szCs w:val="23"/>
              </w:rPr>
              <w:t>Разом за рік</w:t>
            </w:r>
          </w:p>
        </w:tc>
        <w:tc>
          <w:tcPr>
            <w:tcW w:w="1560" w:type="dxa"/>
            <w:vAlign w:val="center"/>
          </w:tcPr>
          <w:tbl>
            <w:tblPr>
              <w:tblStyle w:val="af0"/>
              <w:tblW w:w="4840" w:type="dxa"/>
              <w:tblInd w:w="0" w:type="dxa"/>
              <w:tblBorders>
                <w:top w:val="nil"/>
                <w:left w:val="nil"/>
                <w:bottom w:val="nil"/>
                <w:right w:val="nil"/>
              </w:tblBorders>
              <w:tblLayout w:type="fixed"/>
              <w:tblLook w:val="0000" w:firstRow="0" w:lastRow="0" w:firstColumn="0" w:lastColumn="0" w:noHBand="0" w:noVBand="0"/>
            </w:tblPr>
            <w:tblGrid>
              <w:gridCol w:w="1210"/>
              <w:gridCol w:w="1210"/>
              <w:gridCol w:w="1210"/>
              <w:gridCol w:w="1210"/>
            </w:tblGrid>
            <w:tr w:rsidR="00354587">
              <w:trPr>
                <w:trHeight w:val="104"/>
              </w:trPr>
              <w:tc>
                <w:tcPr>
                  <w:tcW w:w="1210" w:type="dxa"/>
                </w:tcPr>
                <w:p w:rsidR="00354587" w:rsidRDefault="00354587" w:rsidP="00354587">
                  <w:pPr>
                    <w:jc w:val="center"/>
                    <w:rPr>
                      <w:sz w:val="23"/>
                      <w:szCs w:val="23"/>
                    </w:rPr>
                  </w:pPr>
                  <w:r>
                    <w:rPr>
                      <w:sz w:val="23"/>
                      <w:szCs w:val="23"/>
                    </w:rPr>
                    <w:t>1,5 год.</w:t>
                  </w:r>
                </w:p>
              </w:tc>
              <w:tc>
                <w:tcPr>
                  <w:tcW w:w="1210" w:type="dxa"/>
                </w:tcPr>
                <w:p w:rsidR="00354587" w:rsidRDefault="00354587" w:rsidP="00354587">
                  <w:pPr>
                    <w:jc w:val="center"/>
                    <w:rPr>
                      <w:sz w:val="23"/>
                      <w:szCs w:val="23"/>
                    </w:rPr>
                  </w:pPr>
                </w:p>
              </w:tc>
              <w:tc>
                <w:tcPr>
                  <w:tcW w:w="1210" w:type="dxa"/>
                </w:tcPr>
                <w:p w:rsidR="00354587" w:rsidRDefault="00354587" w:rsidP="00354587">
                  <w:pPr>
                    <w:jc w:val="center"/>
                    <w:rPr>
                      <w:sz w:val="23"/>
                      <w:szCs w:val="23"/>
                    </w:rPr>
                  </w:pPr>
                  <w:r>
                    <w:rPr>
                      <w:sz w:val="23"/>
                      <w:szCs w:val="23"/>
                    </w:rPr>
                    <w:t>Х</w:t>
                  </w:r>
                </w:p>
              </w:tc>
              <w:tc>
                <w:tcPr>
                  <w:tcW w:w="1210" w:type="dxa"/>
                </w:tcPr>
                <w:p w:rsidR="00354587" w:rsidRDefault="00354587" w:rsidP="00354587">
                  <w:pPr>
                    <w:jc w:val="center"/>
                    <w:rPr>
                      <w:sz w:val="23"/>
                      <w:szCs w:val="23"/>
                    </w:rPr>
                  </w:pPr>
                  <w:r>
                    <w:rPr>
                      <w:sz w:val="23"/>
                      <w:szCs w:val="23"/>
                    </w:rPr>
                    <w:t>Х</w:t>
                  </w:r>
                </w:p>
              </w:tc>
            </w:tr>
          </w:tbl>
          <w:p w:rsidR="00354587" w:rsidRDefault="00354587" w:rsidP="00354587">
            <w:pPr>
              <w:jc w:val="center"/>
              <w:rPr>
                <w:sz w:val="23"/>
                <w:szCs w:val="23"/>
              </w:rPr>
            </w:pPr>
          </w:p>
        </w:tc>
        <w:tc>
          <w:tcPr>
            <w:tcW w:w="1418" w:type="dxa"/>
            <w:vAlign w:val="center"/>
          </w:tcPr>
          <w:p w:rsidR="00354587" w:rsidRDefault="00354587" w:rsidP="00354587">
            <w:pPr>
              <w:jc w:val="center"/>
              <w:rPr>
                <w:sz w:val="23"/>
                <w:szCs w:val="23"/>
              </w:rPr>
            </w:pPr>
            <w:r>
              <w:rPr>
                <w:sz w:val="23"/>
                <w:szCs w:val="23"/>
              </w:rPr>
              <w:t>Х</w:t>
            </w:r>
          </w:p>
        </w:tc>
        <w:tc>
          <w:tcPr>
            <w:tcW w:w="1134" w:type="dxa"/>
            <w:vAlign w:val="center"/>
          </w:tcPr>
          <w:p w:rsidR="00354587" w:rsidRDefault="00354587" w:rsidP="00354587">
            <w:pPr>
              <w:jc w:val="center"/>
              <w:rPr>
                <w:sz w:val="23"/>
                <w:szCs w:val="23"/>
              </w:rPr>
            </w:pPr>
            <w:r>
              <w:rPr>
                <w:sz w:val="23"/>
                <w:szCs w:val="23"/>
              </w:rPr>
              <w:t>3</w:t>
            </w:r>
          </w:p>
        </w:tc>
        <w:tc>
          <w:tcPr>
            <w:tcW w:w="1558" w:type="dxa"/>
            <w:vAlign w:val="center"/>
          </w:tcPr>
          <w:p w:rsidR="00354587" w:rsidRPr="00354587" w:rsidRDefault="00354587" w:rsidP="00354587">
            <w:pPr>
              <w:jc w:val="center"/>
              <w:rPr>
                <w:sz w:val="23"/>
                <w:szCs w:val="23"/>
              </w:rPr>
            </w:pPr>
            <w:r w:rsidRPr="00354587">
              <w:rPr>
                <w:sz w:val="23"/>
                <w:szCs w:val="23"/>
              </w:rPr>
              <w:t>843</w:t>
            </w:r>
          </w:p>
        </w:tc>
        <w:tc>
          <w:tcPr>
            <w:tcW w:w="1843" w:type="dxa"/>
            <w:vAlign w:val="center"/>
          </w:tcPr>
          <w:p w:rsidR="00354587" w:rsidRDefault="00354587" w:rsidP="00354587">
            <w:pPr>
              <w:jc w:val="center"/>
              <w:rPr>
                <w:sz w:val="23"/>
                <w:szCs w:val="23"/>
              </w:rPr>
            </w:pPr>
            <w:r w:rsidRPr="00354587">
              <w:rPr>
                <w:sz w:val="23"/>
                <w:szCs w:val="23"/>
              </w:rPr>
              <w:t>806 118,75</w:t>
            </w:r>
          </w:p>
        </w:tc>
      </w:tr>
      <w:tr w:rsidR="00FB26E9" w:rsidTr="00E5614D">
        <w:tc>
          <w:tcPr>
            <w:tcW w:w="2268" w:type="dxa"/>
          </w:tcPr>
          <w:p w:rsidR="00FB26E9" w:rsidRDefault="00826043">
            <w:pPr>
              <w:jc w:val="both"/>
              <w:rPr>
                <w:sz w:val="23"/>
                <w:szCs w:val="23"/>
              </w:rPr>
            </w:pPr>
            <w:r>
              <w:rPr>
                <w:sz w:val="23"/>
                <w:szCs w:val="23"/>
              </w:rPr>
              <w:t>Сумарно за п’ять років</w:t>
            </w:r>
          </w:p>
        </w:tc>
        <w:tc>
          <w:tcPr>
            <w:tcW w:w="1560" w:type="dxa"/>
            <w:vAlign w:val="center"/>
          </w:tcPr>
          <w:p w:rsidR="00FB26E9" w:rsidRDefault="00E5614D" w:rsidP="00E5614D">
            <w:pPr>
              <w:jc w:val="center"/>
              <w:rPr>
                <w:sz w:val="23"/>
                <w:szCs w:val="23"/>
              </w:rPr>
            </w:pPr>
            <w:r>
              <w:rPr>
                <w:sz w:val="23"/>
                <w:szCs w:val="23"/>
              </w:rPr>
              <w:t>7,5 год</w:t>
            </w:r>
          </w:p>
        </w:tc>
        <w:tc>
          <w:tcPr>
            <w:tcW w:w="1418" w:type="dxa"/>
            <w:vAlign w:val="center"/>
          </w:tcPr>
          <w:p w:rsidR="00FB26E9" w:rsidRDefault="00826043" w:rsidP="00E5614D">
            <w:pPr>
              <w:jc w:val="center"/>
              <w:rPr>
                <w:sz w:val="23"/>
                <w:szCs w:val="23"/>
              </w:rPr>
            </w:pPr>
            <w:r>
              <w:rPr>
                <w:sz w:val="23"/>
                <w:szCs w:val="23"/>
              </w:rPr>
              <w:t>Х</w:t>
            </w:r>
          </w:p>
        </w:tc>
        <w:tc>
          <w:tcPr>
            <w:tcW w:w="1134" w:type="dxa"/>
            <w:vAlign w:val="center"/>
          </w:tcPr>
          <w:p w:rsidR="00FB26E9" w:rsidRDefault="00354587" w:rsidP="00E5614D">
            <w:pPr>
              <w:jc w:val="center"/>
              <w:rPr>
                <w:sz w:val="23"/>
                <w:szCs w:val="23"/>
              </w:rPr>
            </w:pPr>
            <w:r>
              <w:rPr>
                <w:sz w:val="23"/>
                <w:szCs w:val="23"/>
              </w:rPr>
              <w:t>15</w:t>
            </w:r>
          </w:p>
        </w:tc>
        <w:tc>
          <w:tcPr>
            <w:tcW w:w="1558" w:type="dxa"/>
            <w:vAlign w:val="center"/>
          </w:tcPr>
          <w:p w:rsidR="00FB26E9" w:rsidRPr="00354587" w:rsidRDefault="00354587" w:rsidP="00E5614D">
            <w:pPr>
              <w:jc w:val="center"/>
              <w:rPr>
                <w:sz w:val="23"/>
                <w:szCs w:val="23"/>
              </w:rPr>
            </w:pPr>
            <w:r w:rsidRPr="00354587">
              <w:rPr>
                <w:sz w:val="23"/>
                <w:szCs w:val="23"/>
              </w:rPr>
              <w:t>843</w:t>
            </w:r>
          </w:p>
        </w:tc>
        <w:tc>
          <w:tcPr>
            <w:tcW w:w="1843" w:type="dxa"/>
            <w:vAlign w:val="center"/>
          </w:tcPr>
          <w:p w:rsidR="00FB26E9" w:rsidRDefault="00354587" w:rsidP="00E5614D">
            <w:pPr>
              <w:jc w:val="center"/>
              <w:rPr>
                <w:sz w:val="23"/>
                <w:szCs w:val="23"/>
              </w:rPr>
            </w:pPr>
            <w:r w:rsidRPr="00354587">
              <w:rPr>
                <w:sz w:val="23"/>
                <w:szCs w:val="23"/>
              </w:rPr>
              <w:t>4 030 593,75</w:t>
            </w:r>
          </w:p>
        </w:tc>
      </w:tr>
    </w:tbl>
    <w:p w:rsidR="00FB26E9" w:rsidRDefault="00FB26E9">
      <w:pPr>
        <w:shd w:val="clear" w:color="auto" w:fill="FFFFFF"/>
        <w:spacing w:after="150"/>
        <w:ind w:firstLine="450"/>
        <w:jc w:val="both"/>
        <w:rPr>
          <w:color w:val="333333"/>
        </w:rPr>
      </w:pPr>
    </w:p>
    <w:p w:rsidR="00FB26E9" w:rsidRDefault="00826043">
      <w:pPr>
        <w:shd w:val="clear" w:color="auto" w:fill="FFFFFF"/>
        <w:spacing w:after="240"/>
        <w:ind w:firstLine="450"/>
        <w:jc w:val="both"/>
        <w:rPr>
          <w:color w:val="333333"/>
        </w:rPr>
      </w:pPr>
      <w:bookmarkStart w:id="14" w:name="26in1rg" w:colFirst="0" w:colLast="0"/>
      <w:bookmarkStart w:id="15" w:name="3rdcrjn" w:colFirst="0" w:colLast="0"/>
      <w:bookmarkEnd w:id="14"/>
      <w:bookmarkEnd w:id="15"/>
      <w:r>
        <w:rPr>
          <w:color w:val="333333"/>
        </w:rPr>
        <w:t>4. Розрахунок сумарних витрат суб’єктів малого підприємництва, що виникають на виконання вимог регулювання</w:t>
      </w:r>
    </w:p>
    <w:tbl>
      <w:tblPr>
        <w:tblStyle w:val="af1"/>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5386"/>
        <w:gridCol w:w="2126"/>
        <w:gridCol w:w="2127"/>
      </w:tblGrid>
      <w:tr w:rsidR="00FB26E9">
        <w:tc>
          <w:tcPr>
            <w:tcW w:w="993" w:type="dxa"/>
          </w:tcPr>
          <w:p w:rsidR="00FB26E9" w:rsidRDefault="00826043">
            <w:pPr>
              <w:spacing w:after="150"/>
              <w:jc w:val="both"/>
              <w:rPr>
                <w:color w:val="333333"/>
              </w:rPr>
            </w:pPr>
            <w:r>
              <w:rPr>
                <w:color w:val="333333"/>
              </w:rPr>
              <w:t>Поряд-ковий номер</w:t>
            </w:r>
          </w:p>
        </w:tc>
        <w:tc>
          <w:tcPr>
            <w:tcW w:w="5386" w:type="dxa"/>
          </w:tcPr>
          <w:p w:rsidR="00FB26E9" w:rsidRDefault="00826043">
            <w:pPr>
              <w:spacing w:after="150"/>
              <w:jc w:val="both"/>
              <w:rPr>
                <w:color w:val="333333"/>
              </w:rPr>
            </w:pPr>
            <w:r>
              <w:rPr>
                <w:color w:val="333333"/>
              </w:rPr>
              <w:t>Показник</w:t>
            </w:r>
          </w:p>
        </w:tc>
        <w:tc>
          <w:tcPr>
            <w:tcW w:w="2126" w:type="dxa"/>
          </w:tcPr>
          <w:p w:rsidR="00FB26E9" w:rsidRDefault="00826043">
            <w:pPr>
              <w:spacing w:after="150"/>
              <w:jc w:val="both"/>
              <w:rPr>
                <w:color w:val="333333"/>
              </w:rPr>
            </w:pPr>
            <w:r>
              <w:rPr>
                <w:color w:val="333333"/>
              </w:rPr>
              <w:t>Перший рік регулювання (стартовий)</w:t>
            </w:r>
          </w:p>
        </w:tc>
        <w:tc>
          <w:tcPr>
            <w:tcW w:w="2127" w:type="dxa"/>
          </w:tcPr>
          <w:p w:rsidR="00FB26E9" w:rsidRDefault="00826043">
            <w:pPr>
              <w:shd w:val="clear" w:color="auto" w:fill="FFFFFF"/>
              <w:spacing w:after="150"/>
              <w:ind w:firstLine="29"/>
              <w:jc w:val="both"/>
              <w:rPr>
                <w:color w:val="333333"/>
              </w:rPr>
            </w:pPr>
            <w:r>
              <w:rPr>
                <w:color w:val="333333"/>
              </w:rPr>
              <w:t>За п’ять років</w:t>
            </w:r>
          </w:p>
        </w:tc>
      </w:tr>
      <w:tr w:rsidR="00635C4C">
        <w:tc>
          <w:tcPr>
            <w:tcW w:w="993" w:type="dxa"/>
          </w:tcPr>
          <w:p w:rsidR="00635C4C" w:rsidRDefault="00635C4C" w:rsidP="00635C4C">
            <w:pPr>
              <w:spacing w:after="150"/>
              <w:jc w:val="both"/>
              <w:rPr>
                <w:color w:val="333333"/>
              </w:rPr>
            </w:pPr>
          </w:p>
        </w:tc>
        <w:tc>
          <w:tcPr>
            <w:tcW w:w="5386" w:type="dxa"/>
          </w:tcPr>
          <w:p w:rsidR="00635C4C" w:rsidRDefault="00635C4C" w:rsidP="00635C4C">
            <w:pPr>
              <w:spacing w:after="150"/>
              <w:jc w:val="both"/>
              <w:rPr>
                <w:color w:val="333333"/>
              </w:rPr>
            </w:pPr>
            <w:r>
              <w:t>Оцінка „прямих” витрат суб’єктів малого підприємництва на виконання регулювання</w:t>
            </w:r>
          </w:p>
        </w:tc>
        <w:tc>
          <w:tcPr>
            <w:tcW w:w="2126" w:type="dxa"/>
          </w:tcPr>
          <w:p w:rsidR="00635C4C" w:rsidRPr="0013378E" w:rsidRDefault="00635C4C" w:rsidP="00635C4C">
            <w:pPr>
              <w:rPr>
                <w:sz w:val="23"/>
                <w:szCs w:val="23"/>
              </w:rPr>
            </w:pPr>
            <w:r w:rsidRPr="0013378E">
              <w:rPr>
                <w:sz w:val="23"/>
                <w:szCs w:val="23"/>
              </w:rPr>
              <w:t>11 878 490</w:t>
            </w:r>
          </w:p>
          <w:p w:rsidR="00635C4C" w:rsidRPr="0013378E" w:rsidRDefault="00635C4C" w:rsidP="00635C4C">
            <w:pPr>
              <w:spacing w:after="150"/>
              <w:jc w:val="both"/>
              <w:rPr>
                <w:color w:val="333333"/>
              </w:rPr>
            </w:pPr>
          </w:p>
        </w:tc>
        <w:tc>
          <w:tcPr>
            <w:tcW w:w="2127" w:type="dxa"/>
          </w:tcPr>
          <w:p w:rsidR="00A102A4" w:rsidRPr="0013378E" w:rsidRDefault="00A102A4" w:rsidP="00A102A4">
            <w:pPr>
              <w:rPr>
                <w:sz w:val="23"/>
                <w:szCs w:val="23"/>
              </w:rPr>
            </w:pPr>
            <w:r w:rsidRPr="0013378E">
              <w:rPr>
                <w:sz w:val="23"/>
                <w:szCs w:val="23"/>
              </w:rPr>
              <w:t>59 392 450</w:t>
            </w:r>
          </w:p>
          <w:p w:rsidR="00635C4C" w:rsidRPr="0013378E" w:rsidRDefault="00635C4C" w:rsidP="00635C4C">
            <w:pPr>
              <w:spacing w:after="150"/>
              <w:jc w:val="both"/>
            </w:pPr>
          </w:p>
        </w:tc>
      </w:tr>
      <w:tr w:rsidR="00FB26E9">
        <w:tc>
          <w:tcPr>
            <w:tcW w:w="993" w:type="dxa"/>
          </w:tcPr>
          <w:p w:rsidR="00FB26E9" w:rsidRDefault="00826043">
            <w:pPr>
              <w:spacing w:after="150"/>
              <w:jc w:val="both"/>
              <w:rPr>
                <w:color w:val="333333"/>
              </w:rPr>
            </w:pPr>
            <w:r>
              <w:rPr>
                <w:color w:val="333333"/>
              </w:rPr>
              <w:t>1.</w:t>
            </w:r>
          </w:p>
        </w:tc>
        <w:tc>
          <w:tcPr>
            <w:tcW w:w="5386" w:type="dxa"/>
          </w:tcPr>
          <w:p w:rsidR="00FB26E9" w:rsidRDefault="00826043">
            <w:pPr>
              <w:spacing w:after="150"/>
              <w:jc w:val="both"/>
              <w:rPr>
                <w:color w:val="333333"/>
              </w:rPr>
            </w:pPr>
            <w:r>
              <w:rPr>
                <w:color w:val="333333"/>
              </w:rPr>
              <w:t>Оцінка вартості адміністративних процедур для суб’єктів малого підприємництва щодо виконання регулювання та звітування</w:t>
            </w:r>
          </w:p>
        </w:tc>
        <w:tc>
          <w:tcPr>
            <w:tcW w:w="2126" w:type="dxa"/>
          </w:tcPr>
          <w:p w:rsidR="00FB26E9" w:rsidRPr="00635C4C" w:rsidRDefault="00635C4C" w:rsidP="00635C4C">
            <w:pPr>
              <w:rPr>
                <w:color w:val="333333"/>
                <w:highlight w:val="green"/>
              </w:rPr>
            </w:pPr>
            <w:r>
              <w:rPr>
                <w:color w:val="333333"/>
              </w:rPr>
              <w:t>242 784,0</w:t>
            </w:r>
          </w:p>
        </w:tc>
        <w:tc>
          <w:tcPr>
            <w:tcW w:w="2127" w:type="dxa"/>
          </w:tcPr>
          <w:p w:rsidR="00FB26E9" w:rsidRPr="00635C4C" w:rsidRDefault="00635C4C">
            <w:pPr>
              <w:spacing w:after="150"/>
              <w:jc w:val="both"/>
              <w:rPr>
                <w:highlight w:val="green"/>
              </w:rPr>
            </w:pPr>
            <w:r>
              <w:t>1 213 920,0</w:t>
            </w:r>
          </w:p>
        </w:tc>
      </w:tr>
      <w:tr w:rsidR="00B127FF">
        <w:tc>
          <w:tcPr>
            <w:tcW w:w="993" w:type="dxa"/>
          </w:tcPr>
          <w:p w:rsidR="00B127FF" w:rsidRDefault="00B127FF" w:rsidP="00B127FF">
            <w:pPr>
              <w:spacing w:after="150"/>
              <w:jc w:val="both"/>
              <w:rPr>
                <w:color w:val="333333"/>
              </w:rPr>
            </w:pPr>
            <w:r>
              <w:rPr>
                <w:color w:val="333333"/>
              </w:rPr>
              <w:t>2</w:t>
            </w:r>
          </w:p>
        </w:tc>
        <w:tc>
          <w:tcPr>
            <w:tcW w:w="5386" w:type="dxa"/>
          </w:tcPr>
          <w:p w:rsidR="00B127FF" w:rsidRDefault="00B127FF" w:rsidP="00B127FF">
            <w:pPr>
              <w:spacing w:after="150"/>
              <w:jc w:val="both"/>
              <w:rPr>
                <w:color w:val="333333"/>
              </w:rPr>
            </w:pPr>
            <w:r>
              <w:rPr>
                <w:color w:val="333333"/>
              </w:rPr>
              <w:t>Сумарні витрати малого підприємництва на виконання запланованого  регулювання</w:t>
            </w:r>
          </w:p>
        </w:tc>
        <w:tc>
          <w:tcPr>
            <w:tcW w:w="2126" w:type="dxa"/>
          </w:tcPr>
          <w:p w:rsidR="00B127FF" w:rsidRPr="0013378E" w:rsidRDefault="00A102A4" w:rsidP="00B127FF">
            <w:pPr>
              <w:spacing w:after="150"/>
              <w:jc w:val="both"/>
              <w:rPr>
                <w:color w:val="333333"/>
              </w:rPr>
            </w:pPr>
            <w:r w:rsidRPr="0013378E">
              <w:rPr>
                <w:color w:val="333333"/>
              </w:rPr>
              <w:t>12 121 274</w:t>
            </w:r>
          </w:p>
        </w:tc>
        <w:tc>
          <w:tcPr>
            <w:tcW w:w="2127" w:type="dxa"/>
          </w:tcPr>
          <w:p w:rsidR="00B127FF" w:rsidRPr="0013378E" w:rsidRDefault="00A102A4" w:rsidP="00B127FF">
            <w:pPr>
              <w:spacing w:after="150"/>
              <w:jc w:val="both"/>
            </w:pPr>
            <w:r w:rsidRPr="0013378E">
              <w:t>60 606 370</w:t>
            </w:r>
          </w:p>
        </w:tc>
      </w:tr>
      <w:tr w:rsidR="00B127FF">
        <w:tc>
          <w:tcPr>
            <w:tcW w:w="993" w:type="dxa"/>
          </w:tcPr>
          <w:p w:rsidR="00B127FF" w:rsidRDefault="00B127FF" w:rsidP="00B127FF">
            <w:pPr>
              <w:spacing w:after="150"/>
              <w:jc w:val="both"/>
              <w:rPr>
                <w:color w:val="333333"/>
              </w:rPr>
            </w:pPr>
            <w:r>
              <w:rPr>
                <w:color w:val="333333"/>
              </w:rPr>
              <w:t>3</w:t>
            </w:r>
          </w:p>
        </w:tc>
        <w:tc>
          <w:tcPr>
            <w:tcW w:w="5386" w:type="dxa"/>
          </w:tcPr>
          <w:p w:rsidR="00B127FF" w:rsidRDefault="00B127FF" w:rsidP="00B127FF">
            <w:pPr>
              <w:spacing w:after="150"/>
              <w:jc w:val="both"/>
              <w:rPr>
                <w:color w:val="333333"/>
              </w:rPr>
            </w:pPr>
            <w:r>
              <w:rPr>
                <w:color w:val="333333"/>
              </w:rPr>
              <w:t>Бюджетні витрати  на адміністрування регулювання суб’єктів малого підприємництва</w:t>
            </w:r>
          </w:p>
        </w:tc>
        <w:tc>
          <w:tcPr>
            <w:tcW w:w="2126" w:type="dxa"/>
          </w:tcPr>
          <w:p w:rsidR="00B127FF" w:rsidRPr="008D20D7" w:rsidRDefault="00354587" w:rsidP="00B127FF">
            <w:pPr>
              <w:spacing w:after="150"/>
              <w:jc w:val="both"/>
              <w:rPr>
                <w:color w:val="333333"/>
              </w:rPr>
            </w:pPr>
            <w:r w:rsidRPr="00354587">
              <w:rPr>
                <w:sz w:val="23"/>
                <w:szCs w:val="23"/>
              </w:rPr>
              <w:t>806 118,75</w:t>
            </w:r>
          </w:p>
        </w:tc>
        <w:tc>
          <w:tcPr>
            <w:tcW w:w="2127" w:type="dxa"/>
          </w:tcPr>
          <w:p w:rsidR="00B127FF" w:rsidRPr="008D20D7" w:rsidRDefault="00354587" w:rsidP="00B127FF">
            <w:pPr>
              <w:spacing w:after="150"/>
              <w:jc w:val="both"/>
              <w:rPr>
                <w:color w:val="333333"/>
              </w:rPr>
            </w:pPr>
            <w:r w:rsidRPr="00354587">
              <w:rPr>
                <w:sz w:val="23"/>
                <w:szCs w:val="23"/>
              </w:rPr>
              <w:t>4 030 593,75</w:t>
            </w:r>
          </w:p>
        </w:tc>
      </w:tr>
      <w:tr w:rsidR="00B127FF">
        <w:tc>
          <w:tcPr>
            <w:tcW w:w="993" w:type="dxa"/>
          </w:tcPr>
          <w:p w:rsidR="00B127FF" w:rsidRDefault="00B127FF" w:rsidP="00B127FF">
            <w:pPr>
              <w:spacing w:after="150"/>
              <w:jc w:val="both"/>
              <w:rPr>
                <w:color w:val="333333"/>
              </w:rPr>
            </w:pPr>
            <w:r>
              <w:rPr>
                <w:color w:val="333333"/>
              </w:rPr>
              <w:t>4</w:t>
            </w:r>
          </w:p>
        </w:tc>
        <w:tc>
          <w:tcPr>
            <w:tcW w:w="5386" w:type="dxa"/>
          </w:tcPr>
          <w:p w:rsidR="00B127FF" w:rsidRDefault="00B127FF" w:rsidP="00B127FF">
            <w:pPr>
              <w:spacing w:after="150"/>
              <w:jc w:val="both"/>
              <w:rPr>
                <w:color w:val="333333"/>
              </w:rPr>
            </w:pPr>
            <w:r>
              <w:rPr>
                <w:color w:val="333333"/>
              </w:rPr>
              <w:t>Сумарні витрати на виконання запланованого регулювання</w:t>
            </w:r>
          </w:p>
        </w:tc>
        <w:tc>
          <w:tcPr>
            <w:tcW w:w="2126" w:type="dxa"/>
          </w:tcPr>
          <w:p w:rsidR="00B127FF" w:rsidRDefault="00354587" w:rsidP="00B127FF">
            <w:pPr>
              <w:spacing w:after="150"/>
              <w:jc w:val="both"/>
            </w:pPr>
            <w:r w:rsidRPr="00354587">
              <w:t>12 927 392,75</w:t>
            </w:r>
          </w:p>
        </w:tc>
        <w:tc>
          <w:tcPr>
            <w:tcW w:w="2127" w:type="dxa"/>
          </w:tcPr>
          <w:p w:rsidR="00B127FF" w:rsidRDefault="00354587" w:rsidP="00B127FF">
            <w:pPr>
              <w:spacing w:after="150"/>
              <w:jc w:val="both"/>
            </w:pPr>
            <w:r w:rsidRPr="00354587">
              <w:t>64 636 963,75</w:t>
            </w:r>
          </w:p>
        </w:tc>
      </w:tr>
    </w:tbl>
    <w:p w:rsidR="00FB26E9" w:rsidRDefault="00826043">
      <w:pPr>
        <w:shd w:val="clear" w:color="auto" w:fill="FFFFFF"/>
        <w:spacing w:after="150"/>
        <w:ind w:firstLine="450"/>
        <w:jc w:val="both"/>
        <w:rPr>
          <w:sz w:val="20"/>
          <w:szCs w:val="20"/>
        </w:rPr>
      </w:pPr>
      <w:r>
        <w:rPr>
          <w:color w:val="333333"/>
          <w:sz w:val="20"/>
          <w:szCs w:val="20"/>
        </w:rPr>
        <w:t xml:space="preserve">* </w:t>
      </w:r>
      <w:r>
        <w:rPr>
          <w:sz w:val="20"/>
          <w:szCs w:val="20"/>
        </w:rPr>
        <w:t>Мінімальна заробітна плата в погодинному розмірі відповідно до Закону України „Про Державний бюджет України на 202</w:t>
      </w:r>
      <w:r w:rsidR="00354587">
        <w:rPr>
          <w:sz w:val="20"/>
          <w:szCs w:val="20"/>
        </w:rPr>
        <w:t>5</w:t>
      </w:r>
      <w:r>
        <w:rPr>
          <w:sz w:val="20"/>
          <w:szCs w:val="20"/>
        </w:rPr>
        <w:t xml:space="preserve"> рікˮ.</w:t>
      </w:r>
    </w:p>
    <w:p w:rsidR="00FB26E9" w:rsidRDefault="00826043">
      <w:pPr>
        <w:shd w:val="clear" w:color="auto" w:fill="FFFFFF"/>
        <w:spacing w:after="150"/>
        <w:ind w:firstLine="450"/>
        <w:jc w:val="both"/>
        <w:rPr>
          <w:sz w:val="20"/>
          <w:szCs w:val="20"/>
        </w:rPr>
      </w:pPr>
      <w:r>
        <w:rPr>
          <w:sz w:val="20"/>
          <w:szCs w:val="20"/>
        </w:rPr>
        <w:t xml:space="preserve">** Розрахунок розроблено для надавача соціальної послуги, який надає цю послугу </w:t>
      </w:r>
      <w:r w:rsidR="00635C4C">
        <w:rPr>
          <w:sz w:val="20"/>
          <w:szCs w:val="20"/>
        </w:rPr>
        <w:t>1000</w:t>
      </w:r>
      <w:r>
        <w:rPr>
          <w:sz w:val="20"/>
          <w:szCs w:val="20"/>
        </w:rPr>
        <w:t xml:space="preserve"> отримувачам соціальної послуги.</w:t>
      </w:r>
    </w:p>
    <w:p w:rsidR="00FB26E9" w:rsidRDefault="00FB26E9">
      <w:pPr>
        <w:shd w:val="clear" w:color="auto" w:fill="FFFFFF"/>
        <w:spacing w:after="150"/>
        <w:ind w:firstLine="450"/>
        <w:jc w:val="both"/>
        <w:rPr>
          <w:b/>
          <w:sz w:val="20"/>
          <w:szCs w:val="20"/>
        </w:rPr>
      </w:pPr>
    </w:p>
    <w:p w:rsidR="00FB26E9" w:rsidRDefault="00FB26E9">
      <w:pPr>
        <w:shd w:val="clear" w:color="auto" w:fill="FFFFFF"/>
        <w:spacing w:after="150"/>
        <w:ind w:firstLine="450"/>
        <w:jc w:val="both"/>
        <w:rPr>
          <w:color w:val="333333"/>
        </w:rPr>
      </w:pPr>
    </w:p>
    <w:p w:rsidR="00FB26E9" w:rsidRPr="006E07E4" w:rsidRDefault="006E07E4">
      <w:pPr>
        <w:shd w:val="clear" w:color="auto" w:fill="FFFFFF"/>
        <w:jc w:val="both"/>
        <w:rPr>
          <w:b/>
          <w:color w:val="333333"/>
          <w:sz w:val="28"/>
          <w:szCs w:val="28"/>
        </w:rPr>
      </w:pPr>
      <w:r w:rsidRPr="006E07E4">
        <w:rPr>
          <w:b/>
          <w:color w:val="333333"/>
          <w:sz w:val="28"/>
          <w:szCs w:val="28"/>
        </w:rPr>
        <w:t>Міністр                                                                                            Оксана ЖОЛНОВИЧ</w:t>
      </w:r>
    </w:p>
    <w:p w:rsidR="00FB26E9" w:rsidRPr="006E07E4" w:rsidRDefault="00FB26E9">
      <w:pPr>
        <w:shd w:val="clear" w:color="auto" w:fill="FFFFFF"/>
        <w:spacing w:after="150"/>
        <w:ind w:firstLine="450"/>
        <w:jc w:val="both"/>
        <w:rPr>
          <w:b/>
          <w:color w:val="333333"/>
        </w:rPr>
      </w:pPr>
    </w:p>
    <w:p w:rsidR="00FB26E9" w:rsidRDefault="00826043">
      <w:pPr>
        <w:shd w:val="clear" w:color="auto" w:fill="FFFFFF"/>
        <w:spacing w:after="150"/>
        <w:jc w:val="both"/>
        <w:rPr>
          <w:b/>
          <w:sz w:val="28"/>
          <w:szCs w:val="28"/>
        </w:rPr>
      </w:pPr>
      <w:r w:rsidRPr="006E07E4">
        <w:rPr>
          <w:color w:val="333333"/>
        </w:rPr>
        <w:t>___ __________ 202</w:t>
      </w:r>
      <w:r w:rsidR="00FA70BF" w:rsidRPr="006E07E4">
        <w:rPr>
          <w:color w:val="333333"/>
        </w:rPr>
        <w:t>5</w:t>
      </w:r>
      <w:r w:rsidRPr="006E07E4">
        <w:rPr>
          <w:color w:val="333333"/>
        </w:rPr>
        <w:t xml:space="preserve"> р.</w:t>
      </w:r>
    </w:p>
    <w:sectPr w:rsidR="00FB26E9">
      <w:headerReference w:type="default" r:id="rId12"/>
      <w:pgSz w:w="11906" w:h="16838"/>
      <w:pgMar w:top="850" w:right="850" w:bottom="850"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94" w:rsidRDefault="00496394">
      <w:r>
        <w:separator/>
      </w:r>
    </w:p>
  </w:endnote>
  <w:endnote w:type="continuationSeparator" w:id="0">
    <w:p w:rsidR="00496394" w:rsidRDefault="0049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94" w:rsidRDefault="00496394">
      <w:r>
        <w:separator/>
      </w:r>
    </w:p>
  </w:footnote>
  <w:footnote w:type="continuationSeparator" w:id="0">
    <w:p w:rsidR="00496394" w:rsidRDefault="0049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4" w:rsidRDefault="005B1084">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230BC2">
      <w:rPr>
        <w:noProof/>
        <w:color w:val="000000"/>
      </w:rPr>
      <w:t>3</w:t>
    </w:r>
    <w:r>
      <w:rPr>
        <w:color w:val="000000"/>
      </w:rPr>
      <w:fldChar w:fldCharType="end"/>
    </w:r>
  </w:p>
  <w:p w:rsidR="005B1084" w:rsidRDefault="005B1084">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39D6"/>
    <w:multiLevelType w:val="multilevel"/>
    <w:tmpl w:val="182235B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5D70BB8"/>
    <w:multiLevelType w:val="multilevel"/>
    <w:tmpl w:val="9A88E1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165A6C"/>
    <w:multiLevelType w:val="hybridMultilevel"/>
    <w:tmpl w:val="37A2CF1C"/>
    <w:lvl w:ilvl="0" w:tplc="B97693C4">
      <w:start w:val="1"/>
      <w:numFmt w:val="decimal"/>
      <w:lvlText w:val="%1."/>
      <w:lvlJc w:val="left"/>
      <w:pPr>
        <w:ind w:left="430" w:hanging="360"/>
      </w:pPr>
      <w:rPr>
        <w:rFonts w:hint="default"/>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3" w15:restartNumberingAfterBreak="0">
    <w:nsid w:val="4E3F118A"/>
    <w:multiLevelType w:val="multilevel"/>
    <w:tmpl w:val="26527A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17433D4"/>
    <w:multiLevelType w:val="multilevel"/>
    <w:tmpl w:val="11286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E9"/>
    <w:rsid w:val="00003AAC"/>
    <w:rsid w:val="00010840"/>
    <w:rsid w:val="00011724"/>
    <w:rsid w:val="00026152"/>
    <w:rsid w:val="000C6181"/>
    <w:rsid w:val="0013378E"/>
    <w:rsid w:val="00137E06"/>
    <w:rsid w:val="001C1DE8"/>
    <w:rsid w:val="001D27A6"/>
    <w:rsid w:val="001D4226"/>
    <w:rsid w:val="00224F1F"/>
    <w:rsid w:val="00230BC2"/>
    <w:rsid w:val="00231814"/>
    <w:rsid w:val="002B2847"/>
    <w:rsid w:val="0031280C"/>
    <w:rsid w:val="0032752B"/>
    <w:rsid w:val="003333CA"/>
    <w:rsid w:val="00340467"/>
    <w:rsid w:val="00341393"/>
    <w:rsid w:val="00354587"/>
    <w:rsid w:val="003705FD"/>
    <w:rsid w:val="003B5FCE"/>
    <w:rsid w:val="003C3462"/>
    <w:rsid w:val="003E559E"/>
    <w:rsid w:val="004018F0"/>
    <w:rsid w:val="00493020"/>
    <w:rsid w:val="00496394"/>
    <w:rsid w:val="004A1135"/>
    <w:rsid w:val="0050468A"/>
    <w:rsid w:val="00566E5A"/>
    <w:rsid w:val="0057056A"/>
    <w:rsid w:val="00583B35"/>
    <w:rsid w:val="005B1084"/>
    <w:rsid w:val="005F4C12"/>
    <w:rsid w:val="00635C43"/>
    <w:rsid w:val="00635C4C"/>
    <w:rsid w:val="00635FB2"/>
    <w:rsid w:val="00637FC1"/>
    <w:rsid w:val="00667C9B"/>
    <w:rsid w:val="006C3DB2"/>
    <w:rsid w:val="006E07E4"/>
    <w:rsid w:val="00714390"/>
    <w:rsid w:val="007A727A"/>
    <w:rsid w:val="00815B94"/>
    <w:rsid w:val="00826043"/>
    <w:rsid w:val="008D20D7"/>
    <w:rsid w:val="008E6E0F"/>
    <w:rsid w:val="009543EA"/>
    <w:rsid w:val="00971E68"/>
    <w:rsid w:val="009A17AB"/>
    <w:rsid w:val="00A102A4"/>
    <w:rsid w:val="00A17159"/>
    <w:rsid w:val="00AB6FD2"/>
    <w:rsid w:val="00AE66A8"/>
    <w:rsid w:val="00B127FF"/>
    <w:rsid w:val="00B50D2A"/>
    <w:rsid w:val="00BE544B"/>
    <w:rsid w:val="00C042E8"/>
    <w:rsid w:val="00C161F1"/>
    <w:rsid w:val="00C47969"/>
    <w:rsid w:val="00DB3B21"/>
    <w:rsid w:val="00DF41F3"/>
    <w:rsid w:val="00E133C2"/>
    <w:rsid w:val="00E5614D"/>
    <w:rsid w:val="00EA07D9"/>
    <w:rsid w:val="00EA4C38"/>
    <w:rsid w:val="00EC7964"/>
    <w:rsid w:val="00F35245"/>
    <w:rsid w:val="00F51372"/>
    <w:rsid w:val="00F61EB5"/>
    <w:rsid w:val="00FA70BF"/>
    <w:rsid w:val="00FB26E9"/>
    <w:rsid w:val="00FB28C6"/>
    <w:rsid w:val="00FE1A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68F71-5D00-41CE-8DF9-D15F671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customStyle="1" w:styleId="Default">
    <w:name w:val="Default"/>
    <w:rsid w:val="00F35245"/>
    <w:pPr>
      <w:autoSpaceDE w:val="0"/>
      <w:autoSpaceDN w:val="0"/>
      <w:adjustRightInd w:val="0"/>
    </w:pPr>
    <w:rPr>
      <w:color w:val="000000"/>
    </w:rPr>
  </w:style>
  <w:style w:type="paragraph" w:styleId="af2">
    <w:name w:val="Body Text"/>
    <w:basedOn w:val="a"/>
    <w:link w:val="af3"/>
    <w:uiPriority w:val="99"/>
    <w:rsid w:val="003E559E"/>
    <w:pPr>
      <w:jc w:val="both"/>
    </w:pPr>
    <w:rPr>
      <w:sz w:val="28"/>
      <w:szCs w:val="20"/>
    </w:rPr>
  </w:style>
  <w:style w:type="character" w:customStyle="1" w:styleId="af3">
    <w:name w:val="Основний текст Знак"/>
    <w:basedOn w:val="a0"/>
    <w:link w:val="af2"/>
    <w:uiPriority w:val="99"/>
    <w:qFormat/>
    <w:rsid w:val="003E559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p.gov.ua" TargetMode="External"/><Relationship Id="rId5" Type="http://schemas.openxmlformats.org/officeDocument/2006/relationships/webSettings" Target="webSettings.xml"/><Relationship Id="rId10" Type="http://schemas.openxmlformats.org/officeDocument/2006/relationships/hyperlink" Target="https://zakon.rada.gov.ua/laws/show/2671-19" TargetMode="External"/><Relationship Id="rId4" Type="http://schemas.openxmlformats.org/officeDocument/2006/relationships/settings" Target="settings.xml"/><Relationship Id="rId9" Type="http://schemas.openxmlformats.org/officeDocument/2006/relationships/hyperlink" Target="https://zakon.rada.gov.ua/laws/show/2671-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7C00-4138-4EAC-82C5-9D7F6D0C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19705</Words>
  <Characters>11233</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 Олена</dc:creator>
  <cp:lastModifiedBy>Хаджинов Володимир</cp:lastModifiedBy>
  <cp:revision>35</cp:revision>
  <dcterms:created xsi:type="dcterms:W3CDTF">2024-08-01T11:49:00Z</dcterms:created>
  <dcterms:modified xsi:type="dcterms:W3CDTF">2025-04-22T11:47:00Z</dcterms:modified>
</cp:coreProperties>
</file>