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F" w:rsidRDefault="000F6F6F">
      <w:bookmarkStart w:id="0" w:name="_GoBack"/>
      <w:r w:rsidRPr="00BC1CC5">
        <w:rPr>
          <w:noProof/>
          <w:highlight w:val="darkCyan"/>
          <w:lang w:eastAsia="uk-UA"/>
        </w:rPr>
        <w:drawing>
          <wp:inline distT="0" distB="0" distL="0" distR="0" wp14:anchorId="76B59C76" wp14:editId="4FD26479">
            <wp:extent cx="10153650" cy="70485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7E2F" w:rsidSect="009F2BE1">
      <w:pgSz w:w="16838" w:h="11906" w:orient="landscape"/>
      <w:pgMar w:top="426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BE"/>
    <w:rsid w:val="000001B3"/>
    <w:rsid w:val="000001CD"/>
    <w:rsid w:val="00051FB9"/>
    <w:rsid w:val="0009448C"/>
    <w:rsid w:val="000F0661"/>
    <w:rsid w:val="000F2807"/>
    <w:rsid w:val="000F6F6F"/>
    <w:rsid w:val="001036AD"/>
    <w:rsid w:val="00103D3C"/>
    <w:rsid w:val="00110428"/>
    <w:rsid w:val="00124924"/>
    <w:rsid w:val="001354B7"/>
    <w:rsid w:val="00143A17"/>
    <w:rsid w:val="00154372"/>
    <w:rsid w:val="00157CB0"/>
    <w:rsid w:val="00163F1F"/>
    <w:rsid w:val="0016610E"/>
    <w:rsid w:val="001A1E46"/>
    <w:rsid w:val="001B4578"/>
    <w:rsid w:val="001C77EC"/>
    <w:rsid w:val="001D06B3"/>
    <w:rsid w:val="001E63D9"/>
    <w:rsid w:val="002101B5"/>
    <w:rsid w:val="00214AE0"/>
    <w:rsid w:val="00222E6B"/>
    <w:rsid w:val="002257CF"/>
    <w:rsid w:val="00266C07"/>
    <w:rsid w:val="00270E5F"/>
    <w:rsid w:val="00275F02"/>
    <w:rsid w:val="00283955"/>
    <w:rsid w:val="00295674"/>
    <w:rsid w:val="002A183B"/>
    <w:rsid w:val="002B1CC2"/>
    <w:rsid w:val="002D521C"/>
    <w:rsid w:val="002E47B0"/>
    <w:rsid w:val="002F174B"/>
    <w:rsid w:val="00307543"/>
    <w:rsid w:val="003202A1"/>
    <w:rsid w:val="00321B32"/>
    <w:rsid w:val="00327804"/>
    <w:rsid w:val="00331FB9"/>
    <w:rsid w:val="00336564"/>
    <w:rsid w:val="0036689F"/>
    <w:rsid w:val="00377117"/>
    <w:rsid w:val="0039525D"/>
    <w:rsid w:val="00395EC1"/>
    <w:rsid w:val="003A47C1"/>
    <w:rsid w:val="003D7A73"/>
    <w:rsid w:val="003F457A"/>
    <w:rsid w:val="003F4DF6"/>
    <w:rsid w:val="00406BEB"/>
    <w:rsid w:val="004365D1"/>
    <w:rsid w:val="00452FE1"/>
    <w:rsid w:val="00464158"/>
    <w:rsid w:val="00473767"/>
    <w:rsid w:val="00480147"/>
    <w:rsid w:val="004B0833"/>
    <w:rsid w:val="004B742C"/>
    <w:rsid w:val="004D2F1B"/>
    <w:rsid w:val="00505A1B"/>
    <w:rsid w:val="005349DA"/>
    <w:rsid w:val="005377DB"/>
    <w:rsid w:val="00540192"/>
    <w:rsid w:val="00546382"/>
    <w:rsid w:val="00573544"/>
    <w:rsid w:val="00577317"/>
    <w:rsid w:val="00577FAD"/>
    <w:rsid w:val="00594EFA"/>
    <w:rsid w:val="005A3417"/>
    <w:rsid w:val="005A5237"/>
    <w:rsid w:val="005C1933"/>
    <w:rsid w:val="005C42BB"/>
    <w:rsid w:val="005F39AA"/>
    <w:rsid w:val="00604770"/>
    <w:rsid w:val="00644ABB"/>
    <w:rsid w:val="0065402C"/>
    <w:rsid w:val="00655ABE"/>
    <w:rsid w:val="00681020"/>
    <w:rsid w:val="0068523B"/>
    <w:rsid w:val="00686588"/>
    <w:rsid w:val="006921B4"/>
    <w:rsid w:val="006A15A8"/>
    <w:rsid w:val="006B037E"/>
    <w:rsid w:val="006B2FD9"/>
    <w:rsid w:val="006B7940"/>
    <w:rsid w:val="006C36D8"/>
    <w:rsid w:val="006D2A7F"/>
    <w:rsid w:val="006E3FA2"/>
    <w:rsid w:val="006F60B1"/>
    <w:rsid w:val="00701015"/>
    <w:rsid w:val="00726946"/>
    <w:rsid w:val="00742771"/>
    <w:rsid w:val="00743FA5"/>
    <w:rsid w:val="00774040"/>
    <w:rsid w:val="0078109E"/>
    <w:rsid w:val="00781648"/>
    <w:rsid w:val="007870B0"/>
    <w:rsid w:val="00787A68"/>
    <w:rsid w:val="007A1D2F"/>
    <w:rsid w:val="007A4381"/>
    <w:rsid w:val="007A5942"/>
    <w:rsid w:val="007B662C"/>
    <w:rsid w:val="007C157B"/>
    <w:rsid w:val="007E4258"/>
    <w:rsid w:val="008036B5"/>
    <w:rsid w:val="00817187"/>
    <w:rsid w:val="008175A1"/>
    <w:rsid w:val="00825B84"/>
    <w:rsid w:val="008267D6"/>
    <w:rsid w:val="008309F9"/>
    <w:rsid w:val="00833F9C"/>
    <w:rsid w:val="0085316E"/>
    <w:rsid w:val="00886040"/>
    <w:rsid w:val="008A097F"/>
    <w:rsid w:val="008B52C0"/>
    <w:rsid w:val="008C60BD"/>
    <w:rsid w:val="008E6C81"/>
    <w:rsid w:val="008F3179"/>
    <w:rsid w:val="009073FB"/>
    <w:rsid w:val="00907AD1"/>
    <w:rsid w:val="00934042"/>
    <w:rsid w:val="00945104"/>
    <w:rsid w:val="00950767"/>
    <w:rsid w:val="00956AD0"/>
    <w:rsid w:val="009628F1"/>
    <w:rsid w:val="00963C4E"/>
    <w:rsid w:val="0096770B"/>
    <w:rsid w:val="00996E1F"/>
    <w:rsid w:val="009A1207"/>
    <w:rsid w:val="009A1956"/>
    <w:rsid w:val="009A544C"/>
    <w:rsid w:val="009A6C77"/>
    <w:rsid w:val="009D7079"/>
    <w:rsid w:val="009E3534"/>
    <w:rsid w:val="009F2BE1"/>
    <w:rsid w:val="00A00439"/>
    <w:rsid w:val="00A313F0"/>
    <w:rsid w:val="00A47A35"/>
    <w:rsid w:val="00A6797E"/>
    <w:rsid w:val="00AA7ACB"/>
    <w:rsid w:val="00AC3A67"/>
    <w:rsid w:val="00AD69B2"/>
    <w:rsid w:val="00AE0861"/>
    <w:rsid w:val="00AE57E1"/>
    <w:rsid w:val="00AF71F5"/>
    <w:rsid w:val="00B01947"/>
    <w:rsid w:val="00B22E3E"/>
    <w:rsid w:val="00B3505A"/>
    <w:rsid w:val="00B3699B"/>
    <w:rsid w:val="00BB6674"/>
    <w:rsid w:val="00BC1CC5"/>
    <w:rsid w:val="00BC50DE"/>
    <w:rsid w:val="00BE2526"/>
    <w:rsid w:val="00BE3F77"/>
    <w:rsid w:val="00BE7592"/>
    <w:rsid w:val="00BF195A"/>
    <w:rsid w:val="00BF6B64"/>
    <w:rsid w:val="00C25D47"/>
    <w:rsid w:val="00C3099B"/>
    <w:rsid w:val="00C3113F"/>
    <w:rsid w:val="00C65D74"/>
    <w:rsid w:val="00C7037E"/>
    <w:rsid w:val="00C82556"/>
    <w:rsid w:val="00CA00AA"/>
    <w:rsid w:val="00CA0110"/>
    <w:rsid w:val="00CA064B"/>
    <w:rsid w:val="00CC741E"/>
    <w:rsid w:val="00CE739E"/>
    <w:rsid w:val="00D204C5"/>
    <w:rsid w:val="00D25D19"/>
    <w:rsid w:val="00D56E59"/>
    <w:rsid w:val="00D61A95"/>
    <w:rsid w:val="00D76718"/>
    <w:rsid w:val="00D94360"/>
    <w:rsid w:val="00DB3ED7"/>
    <w:rsid w:val="00DD2427"/>
    <w:rsid w:val="00DD3158"/>
    <w:rsid w:val="00DD421E"/>
    <w:rsid w:val="00DF1177"/>
    <w:rsid w:val="00E015F9"/>
    <w:rsid w:val="00E278D2"/>
    <w:rsid w:val="00E3374A"/>
    <w:rsid w:val="00E600C8"/>
    <w:rsid w:val="00ED446F"/>
    <w:rsid w:val="00EE33B3"/>
    <w:rsid w:val="00EF3832"/>
    <w:rsid w:val="00F02398"/>
    <w:rsid w:val="00F3725C"/>
    <w:rsid w:val="00F615FC"/>
    <w:rsid w:val="00F75D5E"/>
    <w:rsid w:val="00FA17CB"/>
    <w:rsid w:val="00FB1434"/>
    <w:rsid w:val="00F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AF1CD-32FA-4276-B901-1FA6AC7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.galinovska\Desktop\&#1047;&#1042;&#1043;%202021\&#1055;&#1048;&#1058;&#1040;&#1053;&#1053;&#1071;%20&#1047;&#1042;&#1043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ПИТАННЯ,</a:t>
            </a:r>
          </a:p>
          <a:p>
            <a:pPr>
              <a:defRPr sz="1400"/>
            </a:pPr>
            <a:r>
              <a:rPr lang="uk-UA" sz="1300" b="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що порушували громадяни у зверненнях до Мінсоцполітики</a:t>
            </a:r>
          </a:p>
          <a:p>
            <a:pPr>
              <a:defRPr sz="1400"/>
            </a:pPr>
            <a:r>
              <a:rPr lang="uk-UA" sz="1300" b="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у 2022 році</a:t>
            </a:r>
          </a:p>
          <a:p>
            <a:pPr>
              <a:defRPr sz="1400"/>
            </a:pPr>
            <a:endParaRPr lang="uk-UA" sz="1400" baseline="0">
              <a:solidFill>
                <a:sysClr val="windowText" lastClr="000000"/>
              </a:solidFill>
              <a:latin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6470914400240309"/>
          <c:y val="5.94594594594594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20"/>
      <c:rotY val="260"/>
      <c:depthPercent val="100"/>
      <c:rAngAx val="0"/>
      <c:perspective val="2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5033015055665684"/>
          <c:y val="0.21482753265309287"/>
          <c:w val="0.31236904955360878"/>
          <c:h val="0.4390518550046109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B27-428F-BFDC-7E495FFE08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B27-428F-BFDC-7E495FFE08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B27-428F-BFDC-7E495FFE08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B27-428F-BFDC-7E495FFE08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1B27-428F-BFDC-7E495FFE08C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1B27-428F-BFDC-7E495FFE08C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1B27-428F-BFDC-7E495FFE08C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1B27-428F-BFDC-7E495FFE08C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1B27-428F-BFDC-7E495FFE08C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1B27-428F-BFDC-7E495FFE08CB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1B27-428F-BFDC-7E495FFE08CB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1B27-428F-BFDC-7E495FFE08CB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1B27-428F-BFDC-7E495FFE08CB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1B27-428F-BFDC-7E495FFE08CB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1B27-428F-BFDC-7E495FFE08CB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1B27-428F-BFDC-7E495FFE08CB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1-1B27-428F-BFDC-7E495FFE08CB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3-1B27-428F-BFDC-7E495FFE08CB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5-1B27-428F-BFDC-7E495FFE08CB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7-1B27-428F-BFDC-7E495FFE08CB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9-1B27-428F-BFDC-7E495FFE08CB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B-1B27-428F-BFDC-7E495FFE08CB}"/>
              </c:ext>
            </c:extLst>
          </c:dPt>
          <c:dLbls>
            <c:dLbl>
              <c:idx val="0"/>
              <c:layout>
                <c:manualLayout>
                  <c:x val="0.15435316364066123"/>
                  <c:y val="-0.1401651415194722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A9F8C437-2CF3-4F01-9ED6-5963DEC5EAF8}" type="CATEGORYNAME">
                      <a:rPr lang="uk-UA" sz="105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2">
                              <a:lumMod val="7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t>6693  (29,1 %)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B27-428F-BFDC-7E495FFE08CB}"/>
                </c:ext>
              </c:extLst>
            </c:dLbl>
            <c:dLbl>
              <c:idx val="1"/>
              <c:layout>
                <c:manualLayout>
                  <c:x val="9.3065055423419158E-3"/>
                  <c:y val="-0.108920195786337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A5F16CB1-72CC-47C8-86B0-84EED63B3F0D}" type="CATEGORYNAME">
                      <a:rPr lang="uk-UA" sz="1050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</a:rPr>
                      <a:pPr>
                        <a:defRPr sz="1050">
                          <a:solidFill>
                            <a:srgbClr val="00B050"/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rgbClr val="00B050"/>
                      </a:solidFill>
                      <a:latin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rgbClr val="00B05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</a:rPr>
                      <a:t>3144 (13,7 %)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B27-428F-BFDC-7E495FFE08CB}"/>
                </c:ext>
              </c:extLst>
            </c:dLbl>
            <c:dLbl>
              <c:idx val="2"/>
              <c:layout>
                <c:manualLayout>
                  <c:x val="9.7610514445544125E-2"/>
                  <c:y val="-0.1310983897283109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</a:rPr>
                      <a:t>Соціальний захист незахищених верст населення під час війни, грошова допомога від міжнародних організацій</a:t>
                    </a:r>
                  </a:p>
                  <a:p>
                    <a:pPr>
                      <a:defRPr sz="105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</a:rPr>
                      <a:t>2401 (10,5 %)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73608505315821"/>
                      <c:h val="0.125459459459459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B27-428F-BFDC-7E495FFE08CB}"/>
                </c:ext>
              </c:extLst>
            </c:dLbl>
            <c:dLbl>
              <c:idx val="3"/>
              <c:layout>
                <c:manualLayout>
                  <c:x val="0.14515755418002402"/>
                  <c:y val="-0.1490345463573810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DF406D71-C391-43E5-835C-25914051D6E5}" type="CATEGORYNAME">
                      <a:rPr lang="uk-UA" sz="1050" baseline="0">
                        <a:solidFill>
                          <a:schemeClr val="accent5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1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chemeClr val="accent5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t>2147 (9,4%)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08755472170106"/>
                      <c:h val="5.082882882882883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B27-428F-BFDC-7E495FFE08CB}"/>
                </c:ext>
              </c:extLst>
            </c:dLbl>
            <c:dLbl>
              <c:idx val="4"/>
              <c:layout>
                <c:manualLayout>
                  <c:x val="0.17196451522358955"/>
                  <c:y val="-0.1143505710434844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="1" i="0" u="none" strike="noStrike" kern="1200" spc="0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</a:rPr>
                      <a:t>Пропозиції щодо внесення змін до законодавства</a:t>
                    </a:r>
                  </a:p>
                  <a:p>
                    <a:pPr>
                      <a:defRPr sz="1050">
                        <a:solidFill>
                          <a:schemeClr val="accent1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="1" i="0" u="none" strike="noStrike" kern="1200" spc="0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</a:rPr>
                      <a:t>1164 (5,1 %)</a:t>
                    </a:r>
                    <a:endParaRPr lang="uk-UA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01758480940351"/>
                      <c:h val="7.18198198198198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B27-428F-BFDC-7E495FFE08CB}"/>
                </c:ext>
              </c:extLst>
            </c:dLbl>
            <c:dLbl>
              <c:idx val="5"/>
              <c:layout>
                <c:manualLayout>
                  <c:x val="0.19942139033746495"/>
                  <c:y val="-6.325203944101588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05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Соціальний захист сімей з дітьми</a:t>
                    </a:r>
                  </a:p>
                  <a:p>
                    <a:pPr algn="ctr">
                      <a:defRPr sz="1050">
                        <a:solidFill>
                          <a:schemeClr val="accent4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1336 (5,8 %)</a:t>
                    </a:r>
                  </a:p>
                  <a:p>
                    <a:pPr algn="ctr">
                      <a:defRPr sz="1050">
                        <a:solidFill>
                          <a:schemeClr val="accent4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endParaRPr lang="uk-UA">
                      <a:solidFill>
                        <a:schemeClr val="accent4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05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08750547832553"/>
                      <c:h val="8.52072072072072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1B27-428F-BFDC-7E495FFE08CB}"/>
                </c:ext>
              </c:extLst>
            </c:dLbl>
            <c:dLbl>
              <c:idx val="6"/>
              <c:layout>
                <c:manualLayout>
                  <c:x val="0.22436473583391195"/>
                  <c:y val="-5.024827977583882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</a:rPr>
                      <a:t>Соціальний захист осіб з інвалідністю</a:t>
                    </a:r>
                  </a:p>
                  <a:p>
                    <a:pPr>
                      <a:defRPr sz="1050">
                        <a:solidFill>
                          <a:srgbClr val="7030A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</a:rPr>
                      <a:t>918 (4,0 %)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6810506566604"/>
                      <c:h val="7.06486486486486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1B27-428F-BFDC-7E495FFE08CB}"/>
                </c:ext>
              </c:extLst>
            </c:dLbl>
            <c:dLbl>
              <c:idx val="7"/>
              <c:layout>
                <c:manualLayout>
                  <c:x val="0.30899095399191412"/>
                  <c:y val="5.50775342271405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CC30788A-D138-4D16-BEB7-D6A12EA8C7A0}" type="CATEGORYNAME">
                      <a:rPr lang="uk-UA" sz="105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pPr>
                        <a:defRPr sz="1050">
                          <a:solidFill>
                            <a:schemeClr val="accent2">
                              <a:lumMod val="7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t>887 (3,9 %)</a:t>
                    </a:r>
                  </a:p>
                  <a:p>
                    <a:pPr>
                      <a:defRPr sz="1050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B27-428F-BFDC-7E495FFE08CB}"/>
                </c:ext>
              </c:extLst>
            </c:dLbl>
            <c:dLbl>
              <c:idx val="8"/>
              <c:layout>
                <c:manualLayout>
                  <c:x val="0.33373387894993417"/>
                  <c:y val="0.118460523515641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tx2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baseline="0"/>
                      <a:t>Скарги на дії посадових осіб </a:t>
                    </a:r>
                  </a:p>
                  <a:p>
                    <a:pPr>
                      <a:defRPr sz="1050">
                        <a:solidFill>
                          <a:schemeClr val="tx2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/>
                      <a:t>586 (2,6 %)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B27-428F-BFDC-7E495FFE08CB}"/>
                </c:ext>
              </c:extLst>
            </c:dLbl>
            <c:dLbl>
              <c:idx val="9"/>
              <c:layout>
                <c:manualLayout>
                  <c:x val="0.32384955163906565"/>
                  <c:y val="0.186790380932113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baseline="0"/>
                      <a:t> Організація прийому громадян</a:t>
                    </a:r>
                  </a:p>
                  <a:p>
                    <a:pPr>
                      <a:defRPr sz="1050">
                        <a:solidFill>
                          <a:schemeClr val="accent1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/>
                      <a:t>429 (1,9 %)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B27-428F-BFDC-7E495FFE08CB}"/>
                </c:ext>
              </c:extLst>
            </c:dLbl>
            <c:dLbl>
              <c:idx val="10"/>
              <c:layout>
                <c:manualLayout>
                  <c:x val="0.35638450212485157"/>
                  <c:y val="0.264739802794920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57257DCB-B676-4322-84BD-E258A0D20271}" type="CATEGORYNAME">
                      <a:rPr lang="uk-UA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2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>
                      <a:solidFill>
                        <a:schemeClr val="accent2">
                          <a:lumMod val="50000"/>
                        </a:schemeClr>
                      </a:solidFill>
                    </a:endParaRPr>
                  </a:p>
                  <a:p>
                    <a:pPr>
                      <a:defRPr sz="105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335 (1,5 %)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82869214518913"/>
                      <c:h val="7.064864864864864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1B27-428F-BFDC-7E495FFE08CB}"/>
                </c:ext>
              </c:extLst>
            </c:dLbl>
            <c:dLbl>
              <c:idx val="11"/>
              <c:layout>
                <c:manualLayout>
                  <c:x val="0.20888719819966228"/>
                  <c:y val="0.3189402709796410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DFBAB33F-A2B1-40E9-A993-8EDDEC4ABC9E}" type="CATEGORYNAME">
                      <a:rPr lang="uk-UA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6">
                              <a:lumMod val="7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  <a:p>
                    <a:pPr>
                      <a:defRPr sz="105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240 (1,0 %)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56722951844901"/>
                      <c:h val="7.064864864864864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B27-428F-BFDC-7E495FFE08CB}"/>
                </c:ext>
              </c:extLst>
            </c:dLbl>
            <c:dLbl>
              <c:idx val="12"/>
              <c:layout>
                <c:manualLayout>
                  <c:x val="0.15346008578196021"/>
                  <c:y val="0.404947080939206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FFC8E665-9D02-4636-AB0B-60F1EF03A160}" type="CATEGORYNAME">
                      <a:rPr lang="uk-UA"/>
                      <a:pPr>
                        <a:defRPr sz="1050">
                          <a:solidFill>
                            <a:schemeClr val="accent1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/>
                  </a:p>
                  <a:p>
                    <a:pPr>
                      <a:defRPr sz="1050">
                        <a:solidFill>
                          <a:schemeClr val="accent1">
                            <a:lumMod val="50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/>
                      <a:t>194 (0,8 %)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08052240711633"/>
                      <c:h val="0.113234714003944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B27-428F-BFDC-7E495FFE08CB}"/>
                </c:ext>
              </c:extLst>
            </c:dLbl>
            <c:dLbl>
              <c:idx val="13"/>
              <c:layout>
                <c:manualLayout>
                  <c:x val="1.1614838013916133E-2"/>
                  <c:y val="0.4241217989643186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/>
                      <a:t>Надання матеріальної допомоги</a:t>
                    </a:r>
                  </a:p>
                  <a:p>
                    <a:pPr>
                      <a:defRPr sz="1050">
                        <a:solidFill>
                          <a:schemeClr val="accent2">
                            <a:lumMod val="50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/>
                      <a:t>169 (0,7</a:t>
                    </a:r>
                    <a:r>
                      <a:rPr lang="uk-UA" baseline="0"/>
                      <a:t> 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7900114737064"/>
                      <c:h val="8.3583315599063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1B27-428F-BFDC-7E495FFE08CB}"/>
                </c:ext>
              </c:extLst>
            </c:dLbl>
            <c:dLbl>
              <c:idx val="14"/>
              <c:layout>
                <c:manualLayout>
                  <c:x val="-0.13033815425979819"/>
                  <c:y val="0.375627722210399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t>Соціальний захист потерпілих на виробництві, оплата листків непрацездатності</a:t>
                    </a:r>
                  </a:p>
                  <a:p>
                    <a:pPr>
                      <a:defRPr sz="1050">
                        <a:solidFill>
                          <a:schemeClr val="accent1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rPr>
                      <a:t>162 (0,7 %)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B27-428F-BFDC-7E495FFE08CB}"/>
                </c:ext>
              </c:extLst>
            </c:dLbl>
            <c:dLbl>
              <c:idx val="15"/>
              <c:layout>
                <c:manualLayout>
                  <c:x val="-0.17390238978101472"/>
                  <c:y val="0.272398382634603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latin typeface="Times New Roman" panose="02020603050405020304" pitchFamily="18" charset="0"/>
                      </a:rPr>
                      <a:t>Соціальний захист постраждалих від Чорнобильської катастрофи</a:t>
                    </a:r>
                  </a:p>
                  <a:p>
                    <a:pPr>
                      <a:defRPr sz="1050">
                        <a:solidFill>
                          <a:schemeClr val="accent1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latin typeface="Times New Roman" panose="02020603050405020304" pitchFamily="18" charset="0"/>
                      </a:rPr>
                      <a:t>126 (0,5 %)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B27-428F-BFDC-7E495FFE08CB}"/>
                </c:ext>
              </c:extLst>
            </c:dLbl>
            <c:dLbl>
              <c:idx val="16"/>
              <c:layout>
                <c:manualLayout>
                  <c:x val="-0.15189050243016058"/>
                  <c:y val="0.1790500815776406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="1" i="0" u="none" strike="noStrike" baseline="0">
                        <a:solidFill>
                          <a:srgbClr val="C00000"/>
                        </a:solidFill>
                        <a:effectLst/>
                      </a:rPr>
                      <a:t>Індексація доходів, прожитковий мінімум</a:t>
                    </a:r>
                  </a:p>
                  <a:p>
                    <a:pPr>
                      <a:defRPr sz="1050">
                        <a:solidFill>
                          <a:srgbClr val="C0000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="1" i="0" u="none" strike="noStrike" baseline="0">
                        <a:solidFill>
                          <a:srgbClr val="C00000"/>
                        </a:solidFill>
                        <a:effectLst/>
                        <a:latin typeface="Times New Roman" panose="02020603050405020304" pitchFamily="18" charset="0"/>
                      </a:rPr>
                      <a:t>104 (0,5 %)</a:t>
                    </a:r>
                    <a:endParaRPr lang="uk-UA" sz="1050" baseline="0">
                      <a:solidFill>
                        <a:srgbClr val="C00000"/>
                      </a:solidFill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40150093808632"/>
                      <c:h val="9.2396396396396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1B27-428F-BFDC-7E495FFE08CB}"/>
                </c:ext>
              </c:extLst>
            </c:dLbl>
            <c:dLbl>
              <c:idx val="17"/>
              <c:layout>
                <c:manualLayout>
                  <c:x val="-0.1833988762661703"/>
                  <c:y val="0.1031504575441583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t>Житлові</a:t>
                    </a:r>
                    <a:r>
                      <a:rPr lang="uk-UA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t> питання </a:t>
                    </a:r>
                  </a:p>
                  <a:p>
                    <a:pPr>
                      <a:defRPr sz="105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t>93 (0,4 %)</a:t>
                    </a:r>
                    <a:endParaRPr lang="uk-UA">
                      <a:solidFill>
                        <a:schemeClr val="accent5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B27-428F-BFDC-7E495FFE08CB}"/>
                </c:ext>
              </c:extLst>
            </c:dLbl>
            <c:dLbl>
              <c:idx val="18"/>
              <c:layout>
                <c:manualLayout>
                  <c:x val="-0.17652873597179339"/>
                  <c:y val="3.73794424345604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0070C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rgbClr val="0070C0"/>
                        </a:solidFill>
                        <a:latin typeface="Times New Roman" panose="02020603050405020304" pitchFamily="18" charset="0"/>
                      </a:rPr>
                      <a:t>Запобігання, протидія домашньому насильству</a:t>
                    </a:r>
                  </a:p>
                  <a:p>
                    <a:pPr>
                      <a:defRPr sz="1050">
                        <a:solidFill>
                          <a:srgbClr val="0070C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sz="1050" baseline="0">
                        <a:solidFill>
                          <a:srgbClr val="0070C0"/>
                        </a:solidFill>
                        <a:latin typeface="Times New Roman" panose="02020603050405020304" pitchFamily="18" charset="0"/>
                      </a:rPr>
                      <a:t>73 (0,3 %)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B27-428F-BFDC-7E495FFE08CB}"/>
                </c:ext>
              </c:extLst>
            </c:dLbl>
            <c:dLbl>
              <c:idx val="19"/>
              <c:layout>
                <c:manualLayout>
                  <c:x val="-9.1081729230375288E-2"/>
                  <c:y val="-3.459147336312697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B87707EA-9AD7-4626-9CD9-3871032760DC}" type="CATEGORYNAME">
                      <a:rPr lang="uk-UA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6">
                              <a:lumMod val="75000"/>
                            </a:schemeClr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  <a:p>
                    <a:pPr>
                      <a:defRPr sz="105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63 (0,3 %)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7-1B27-428F-BFDC-7E495FFE08CB}"/>
                </c:ext>
              </c:extLst>
            </c:dLbl>
            <c:dLbl>
              <c:idx val="20"/>
              <c:layout>
                <c:manualLayout>
                  <c:x val="-0.10666105292185568"/>
                  <c:y val="-0.104191246364474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>
                        <a:solidFill>
                          <a:srgbClr val="7030A0"/>
                        </a:solidFill>
                      </a:rPr>
                      <a:t>Питання, які не віднесено </a:t>
                    </a:r>
                  </a:p>
                  <a:p>
                    <a:pPr>
                      <a:defRPr sz="1050">
                        <a:solidFill>
                          <a:srgbClr val="7030A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>
                        <a:solidFill>
                          <a:srgbClr val="7030A0"/>
                        </a:solidFill>
                      </a:rPr>
                      <a:t>до компетенції Міністерства</a:t>
                    </a:r>
                  </a:p>
                  <a:p>
                    <a:pPr>
                      <a:defRPr sz="1050">
                        <a:solidFill>
                          <a:srgbClr val="7030A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>
                        <a:solidFill>
                          <a:srgbClr val="7030A0"/>
                        </a:solidFill>
                      </a:rPr>
                      <a:t>1000 (4,4 %)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B27-428F-BFDC-7E495FFE08CB}"/>
                </c:ext>
              </c:extLst>
            </c:dLbl>
            <c:dLbl>
              <c:idx val="21"/>
              <c:layout>
                <c:manualLayout>
                  <c:x val="-5.2847139648566521E-2"/>
                  <c:y val="-0.1597633136094674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18791D50-9022-4308-AD2B-11AAB5BB81EF}" type="CATEGORYNAME">
                      <a:rPr lang="uk-UA"/>
                      <a:pPr>
                        <a:defRPr sz="1050">
                          <a:solidFill>
                            <a:srgbClr val="002060"/>
                          </a:solidFill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/>
                  </a:p>
                  <a:p>
                    <a:pPr>
                      <a:defRPr sz="1050">
                        <a:solidFill>
                          <a:srgbClr val="002060"/>
                        </a:solidFill>
                        <a:latin typeface="Times New Roman" panose="02020603050405020304" pitchFamily="18" charset="0"/>
                      </a:defRPr>
                    </a:pPr>
                    <a:r>
                      <a:rPr lang="uk-UA" baseline="0"/>
                      <a:t>697 (3,0)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1B27-428F-BFDC-7E495FFE08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Аркуш2!$A$2:$A$23</c:f>
              <c:strCache>
                <c:ptCount val="22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Пропозиції щодо внесення змін до законодавства</c:v>
                </c:pt>
                <c:pt idx="3">
                  <c:v>Пільги та компенсації</c:v>
                </c:pt>
                <c:pt idx="4">
                  <c:v>Соціальний захист сімей з дітьми</c:v>
                </c:pt>
                <c:pt idx="5">
                  <c:v>Соціальний захист осіб з інвалідністю</c:v>
                </c:pt>
                <c:pt idx="6">
                  <c:v>Питання, які не віднесено до компетенції Міністерства</c:v>
                </c:pt>
                <c:pt idx="7">
                  <c:v>Субсидії</c:v>
                </c:pt>
                <c:pt idx="8">
                  <c:v>Соціальний захист незахищених верст населення під час війни</c:v>
                </c:pt>
                <c:pt idx="9">
                  <c:v>Скарги на дії посадових осіб</c:v>
                </c:pt>
                <c:pt idx="10">
                  <c:v>Оформлення вантажів гуманітарної допомоги</c:v>
                </c:pt>
                <c:pt idx="11">
                  <c:v>Усиновлення, захист прав дитини</c:v>
                </c:pt>
                <c:pt idx="12">
                  <c:v>Діяльність закладів підтримки та догляду</c:v>
                </c:pt>
                <c:pt idx="13">
                  <c:v>Соціальний захист постраждалих від Чорнобильської катастрофи</c:v>
                </c:pt>
                <c:pt idx="14">
                  <c:v>Надання матеріальної допомоги</c:v>
                </c:pt>
                <c:pt idx="15">
                  <c:v>Запобігання, протидія домашньому насильству</c:v>
                </c:pt>
                <c:pt idx="16">
                  <c:v>Соціальний захист потерпілих на виробництві, оплата листків працездатності</c:v>
                </c:pt>
                <c:pt idx="17">
                  <c:v>Організація прийому громадян</c:v>
                </c:pt>
                <c:pt idx="18">
                  <c:v>Індексація доходів, прожитковий мінімум</c:v>
                </c:pt>
                <c:pt idx="19">
                  <c:v>Санаторно-курортне лікування, оздоровлення дітей</c:v>
                </c:pt>
                <c:pt idx="20">
                  <c:v>Житлові питання</c:v>
                </c:pt>
                <c:pt idx="21">
                  <c:v>Інші</c:v>
                </c:pt>
              </c:strCache>
            </c:strRef>
          </c:cat>
          <c:val>
            <c:numRef>
              <c:f>Аркуш2!$B$2:$B$23</c:f>
              <c:numCache>
                <c:formatCode>General</c:formatCode>
                <c:ptCount val="22"/>
                <c:pt idx="0">
                  <c:v>1874</c:v>
                </c:pt>
                <c:pt idx="1">
                  <c:v>1569</c:v>
                </c:pt>
                <c:pt idx="2">
                  <c:v>799</c:v>
                </c:pt>
                <c:pt idx="3">
                  <c:v>594</c:v>
                </c:pt>
                <c:pt idx="4">
                  <c:v>594</c:v>
                </c:pt>
                <c:pt idx="5">
                  <c:v>450</c:v>
                </c:pt>
                <c:pt idx="6">
                  <c:v>433</c:v>
                </c:pt>
                <c:pt idx="7">
                  <c:v>420</c:v>
                </c:pt>
                <c:pt idx="8">
                  <c:v>268</c:v>
                </c:pt>
                <c:pt idx="9">
                  <c:v>193</c:v>
                </c:pt>
                <c:pt idx="10">
                  <c:v>177</c:v>
                </c:pt>
                <c:pt idx="11">
                  <c:v>112</c:v>
                </c:pt>
                <c:pt idx="12">
                  <c:v>102</c:v>
                </c:pt>
                <c:pt idx="13">
                  <c:v>80</c:v>
                </c:pt>
                <c:pt idx="14">
                  <c:v>78</c:v>
                </c:pt>
                <c:pt idx="15">
                  <c:v>67</c:v>
                </c:pt>
                <c:pt idx="16">
                  <c:v>63</c:v>
                </c:pt>
                <c:pt idx="17">
                  <c:v>58</c:v>
                </c:pt>
                <c:pt idx="18">
                  <c:v>52</c:v>
                </c:pt>
                <c:pt idx="19">
                  <c:v>35</c:v>
                </c:pt>
                <c:pt idx="20">
                  <c:v>31</c:v>
                </c:pt>
                <c:pt idx="21">
                  <c:v>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1B27-428F-BFDC-7E495FFE08C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0.78143</cdr:x>
      <cdr:y>0.88919</cdr:y>
    </cdr:from>
    <cdr:to>
      <cdr:x>0.98311</cdr:x>
      <cdr:y>1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7934326" y="6267456"/>
          <a:ext cx="2047830" cy="7810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uk-UA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Всього  22961 звернення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17</cp:revision>
  <cp:lastPrinted>2023-01-16T09:49:00Z</cp:lastPrinted>
  <dcterms:created xsi:type="dcterms:W3CDTF">2022-07-04T09:33:00Z</dcterms:created>
  <dcterms:modified xsi:type="dcterms:W3CDTF">2023-01-16T10:52:00Z</dcterms:modified>
</cp:coreProperties>
</file>