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Look w:val="04A0" w:firstRow="1" w:lastRow="0" w:firstColumn="1" w:lastColumn="0" w:noHBand="0" w:noVBand="1"/>
      </w:tblPr>
      <w:tblGrid>
        <w:gridCol w:w="495"/>
        <w:gridCol w:w="2334"/>
        <w:gridCol w:w="2207"/>
        <w:gridCol w:w="1531"/>
        <w:gridCol w:w="1936"/>
        <w:gridCol w:w="734"/>
      </w:tblGrid>
      <w:tr w:rsidR="0057368D" w:rsidRPr="0057368D" w:rsidTr="0057368D">
        <w:trPr>
          <w:trHeight w:val="1530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звернень громадян, що надійшли                                                                                                                                                                                     до Міністерства соціальної політики України                                                                                                                            у 2019 році</w:t>
            </w:r>
          </w:p>
        </w:tc>
      </w:tr>
      <w:tr w:rsidR="0057368D" w:rsidRPr="0057368D" w:rsidTr="0057368D">
        <w:trPr>
          <w:trHeight w:val="720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у розрізі регіонів України</w:t>
            </w:r>
          </w:p>
        </w:tc>
      </w:tr>
      <w:tr w:rsidR="0057368D" w:rsidRPr="0057368D" w:rsidTr="0057368D">
        <w:trPr>
          <w:trHeight w:val="55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Чисельність                      наявного населення                                        на 01.11.2019                                          (за даними Державної служби статистики України)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</w:t>
            </w:r>
          </w:p>
        </w:tc>
      </w:tr>
      <w:tr w:rsidR="0057368D" w:rsidRPr="0057368D" w:rsidTr="0057368D">
        <w:trPr>
          <w:trHeight w:val="100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 розрахунку                                 на 100 тис. населення</w:t>
            </w: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1547575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840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54,3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1032178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487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3181481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2558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4137246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2128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1210242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977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80,7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1254327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415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1690423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1204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1368761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725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1778132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2599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146,2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935158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604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64,6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2138533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902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2513820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1621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64,5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1121778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628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2376607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1478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1389289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1321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1153702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658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57,0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1069941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1030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96,3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1039702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363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2661509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2617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98,3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1029615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657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63,8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1256356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708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1194584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1090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91,2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901908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368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993758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895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90,1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2964101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7463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251,8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з-за кордону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575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57368D" w:rsidRPr="0057368D" w:rsidTr="0057368D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57368D" w:rsidRPr="0057368D" w:rsidTr="0057368D">
        <w:trPr>
          <w:trHeight w:val="37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41940726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35217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8D" w:rsidRPr="0057368D" w:rsidRDefault="0057368D" w:rsidP="00573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57368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</w:tbl>
    <w:p w:rsidR="0003756B" w:rsidRDefault="0003756B" w:rsidP="0057368D"/>
    <w:p w:rsidR="0057368D" w:rsidRPr="0057368D" w:rsidRDefault="0057368D" w:rsidP="0057368D">
      <w:r>
        <w:rPr>
          <w:noProof/>
          <w:lang w:eastAsia="uk-UA"/>
        </w:rPr>
        <w:lastRenderedPageBreak/>
        <w:drawing>
          <wp:inline distT="0" distB="0" distL="0" distR="0" wp14:anchorId="6A51296B" wp14:editId="1E4C5BA7">
            <wp:extent cx="5772150" cy="9420225"/>
            <wp:effectExtent l="0" t="0" r="19050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57368D" w:rsidRPr="005736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04"/>
    <w:rsid w:val="0003756B"/>
    <w:rsid w:val="004220C3"/>
    <w:rsid w:val="005109F1"/>
    <w:rsid w:val="0057368D"/>
    <w:rsid w:val="00867DF9"/>
    <w:rsid w:val="00F03104"/>
    <w:rsid w:val="00F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C2FC"/>
  <w15:chartTrackingRefBased/>
  <w15:docId w15:val="{0840B8D4-6024-4346-A6C8-4D7D4BB7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i.v.galinovska\Desktop\&#1047;&#1074;&#1110;&#1090;%20&#1047;&#1042;&#1043;%202019\&#1085;&#1072;%20100%20&#1090;&#1080;&#1089;.%20&#1085;&#1072;&#1089;&#1077;&#1083;&#1077;&#1085;&#1085;&#1103;%202019%20&#1088;&#1110;&#10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uk-UA" sz="1400" b="0" i="0" baseline="0">
                <a:latin typeface="Times New Roman" pitchFamily="18" charset="0"/>
              </a:rPr>
              <a:t>Кількість звернень громадян, що надійшли                                       до Мінсоцполітики у 2019 році                                                                               в розрахунку на 100 тис. населення у розрізі регіонів</a:t>
            </a:r>
          </a:p>
          <a:p>
            <a:pPr>
              <a:defRPr baseline="0">
                <a:latin typeface="Times New Roman" pitchFamily="18" charset="0"/>
              </a:defRPr>
            </a:pPr>
            <a:endParaRPr lang="uk-UA" baseline="0">
              <a:latin typeface="Times New Roman" pitchFamily="18" charset="0"/>
            </a:endParaRPr>
          </a:p>
        </c:rich>
      </c:tx>
      <c:overlay val="0"/>
      <c:spPr>
        <a:ln>
          <a:noFill/>
        </a:ln>
      </c:spPr>
    </c:title>
    <c:autoTitleDeleted val="0"/>
    <c:view3D>
      <c:rotX val="15"/>
      <c:rotY val="5"/>
      <c:depthPercent val="100"/>
      <c:rAngAx val="1"/>
    </c:view3D>
    <c:floor>
      <c:thickness val="0"/>
    </c:floor>
    <c:sideWall>
      <c:thickness val="0"/>
      <c:spPr>
        <a:noFill/>
        <a:ln>
          <a:solidFill>
            <a:schemeClr val="accent1"/>
          </a:solidFill>
        </a:ln>
      </c:spPr>
    </c:sideWall>
    <c:backWall>
      <c:thickness val="0"/>
      <c:spPr>
        <a:noFill/>
        <a:ln>
          <a:solidFill>
            <a:schemeClr val="accent1"/>
          </a:solidFill>
        </a:ln>
      </c:spPr>
    </c:backWall>
    <c:plotArea>
      <c:layout>
        <c:manualLayout>
          <c:layoutTarget val="inner"/>
          <c:xMode val="edge"/>
          <c:yMode val="edge"/>
          <c:x val="0.2161006678463136"/>
          <c:y val="0.13677244112894005"/>
          <c:w val="0.78389933215368646"/>
          <c:h val="0.852802426790476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24"/>
              <c:layout>
                <c:manualLayout>
                  <c:x val="6.4059405509634681E-3"/>
                  <c:y val="-2.3052013603194949E-3"/>
                </c:manualLayout>
              </c:layout>
              <c:spPr/>
              <c:txPr>
                <a:bodyPr/>
                <a:lstStyle/>
                <a:p>
                  <a:pPr>
                    <a:defRPr sz="1100" baseline="0">
                      <a:latin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827-4267-9DA3-A37FDB1035CE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'1'!$B$7:$B$31</c:f>
              <c:strCache>
                <c:ptCount val="25"/>
                <c:pt idx="0">
                  <c:v>Закарпатська</c:v>
                </c:pt>
                <c:pt idx="1">
                  <c:v>Тернопільська</c:v>
                </c:pt>
                <c:pt idx="2">
                  <c:v>Чернівецька</c:v>
                </c:pt>
                <c:pt idx="3">
                  <c:v>Луганська</c:v>
                </c:pt>
                <c:pt idx="4">
                  <c:v>Волинська</c:v>
                </c:pt>
                <c:pt idx="5">
                  <c:v>Донецька</c:v>
                </c:pt>
                <c:pt idx="6">
                  <c:v>Івано-Франківська</c:v>
                </c:pt>
                <c:pt idx="7">
                  <c:v>Вінницька</c:v>
                </c:pt>
                <c:pt idx="8">
                  <c:v>Миколаївська</c:v>
                </c:pt>
                <c:pt idx="9">
                  <c:v>Хмельницька</c:v>
                </c:pt>
                <c:pt idx="10">
                  <c:v>Рівненська</c:v>
                </c:pt>
                <c:pt idx="11">
                  <c:v>Одеська</c:v>
                </c:pt>
                <c:pt idx="12">
                  <c:v>Херсонська</c:v>
                </c:pt>
                <c:pt idx="13">
                  <c:v>Львівська</c:v>
                </c:pt>
                <c:pt idx="14">
                  <c:v>Кіровоградська</c:v>
                </c:pt>
                <c:pt idx="15">
                  <c:v>Запорізька</c:v>
                </c:pt>
                <c:pt idx="16">
                  <c:v>Дніпропетровська</c:v>
                </c:pt>
                <c:pt idx="17">
                  <c:v>Житомирська</c:v>
                </c:pt>
                <c:pt idx="18">
                  <c:v>Чернігівська</c:v>
                </c:pt>
                <c:pt idx="19">
                  <c:v>Черкаська</c:v>
                </c:pt>
                <c:pt idx="20">
                  <c:v>Полтавська</c:v>
                </c:pt>
                <c:pt idx="21">
                  <c:v>Сумська</c:v>
                </c:pt>
                <c:pt idx="22">
                  <c:v>Харківська</c:v>
                </c:pt>
                <c:pt idx="23">
                  <c:v>Київська</c:v>
                </c:pt>
                <c:pt idx="24">
                  <c:v>м. Київ</c:v>
                </c:pt>
              </c:strCache>
            </c:strRef>
          </c:cat>
          <c:val>
            <c:numRef>
              <c:f>'1'!$E$7:$E$31</c:f>
              <c:numCache>
                <c:formatCode>0.0</c:formatCode>
                <c:ptCount val="25"/>
                <c:pt idx="0">
                  <c:v>33.085471332435638</c:v>
                </c:pt>
                <c:pt idx="1">
                  <c:v>34.913850314801742</c:v>
                </c:pt>
                <c:pt idx="2">
                  <c:v>40.802387826696297</c:v>
                </c:pt>
                <c:pt idx="3">
                  <c:v>42.178446626729631</c:v>
                </c:pt>
                <c:pt idx="4">
                  <c:v>47.181784537163168</c:v>
                </c:pt>
                <c:pt idx="5">
                  <c:v>51.4351817610072</c:v>
                </c:pt>
                <c:pt idx="6">
                  <c:v>52.967610853903636</c:v>
                </c:pt>
                <c:pt idx="7">
                  <c:v>54.278467925625577</c:v>
                </c:pt>
                <c:pt idx="8">
                  <c:v>55.982556263360486</c:v>
                </c:pt>
                <c:pt idx="9">
                  <c:v>56.353453957317832</c:v>
                </c:pt>
                <c:pt idx="10">
                  <c:v>57.033792088424917</c:v>
                </c:pt>
                <c:pt idx="11">
                  <c:v>62.189499568081722</c:v>
                </c:pt>
                <c:pt idx="12">
                  <c:v>63.810259174545827</c:v>
                </c:pt>
                <c:pt idx="13">
                  <c:v>64.483535018418181</c:v>
                </c:pt>
                <c:pt idx="14">
                  <c:v>64.588016142726687</c:v>
                </c:pt>
                <c:pt idx="15">
                  <c:v>71.22477628380588</c:v>
                </c:pt>
                <c:pt idx="16">
                  <c:v>80.402806114510824</c:v>
                </c:pt>
                <c:pt idx="17">
                  <c:v>80.727656121668232</c:v>
                </c:pt>
                <c:pt idx="18">
                  <c:v>90.062168052986749</c:v>
                </c:pt>
                <c:pt idx="19">
                  <c:v>91.24515312443495</c:v>
                </c:pt>
                <c:pt idx="20">
                  <c:v>95.084608026119838</c:v>
                </c:pt>
                <c:pt idx="21">
                  <c:v>96.2669904228364</c:v>
                </c:pt>
                <c:pt idx="22">
                  <c:v>98.327678020250914</c:v>
                </c:pt>
                <c:pt idx="23">
                  <c:v>146.16462669813041</c:v>
                </c:pt>
                <c:pt idx="24">
                  <c:v>251.77954462415417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27-4267-9DA3-A37FDB103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9566943"/>
        <c:axId val="1"/>
        <c:axId val="0"/>
      </c:bar3DChart>
      <c:catAx>
        <c:axId val="13095669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30956694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0.66335</cdr:x>
      <cdr:y>0.90809</cdr:y>
    </cdr:from>
    <cdr:to>
      <cdr:x>0.97015</cdr:x>
      <cdr:y>0.97303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3810001" y="8658225"/>
          <a:ext cx="1762124" cy="6191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Всього </a:t>
          </a:r>
        </a:p>
        <a:p xmlns:a="http://schemas.openxmlformats.org/drawingml/2006/main">
          <a:pPr algn="ctr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35217 звернень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2</cp:revision>
  <dcterms:created xsi:type="dcterms:W3CDTF">2020-01-16T12:55:00Z</dcterms:created>
  <dcterms:modified xsi:type="dcterms:W3CDTF">2020-01-16T12:57:00Z</dcterms:modified>
</cp:coreProperties>
</file>