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5" w:type="dxa"/>
        <w:tblInd w:w="567" w:type="dxa"/>
        <w:tblLook w:val="04A0" w:firstRow="1" w:lastRow="0" w:firstColumn="1" w:lastColumn="0" w:noHBand="0" w:noVBand="1"/>
      </w:tblPr>
      <w:tblGrid>
        <w:gridCol w:w="486"/>
        <w:gridCol w:w="3342"/>
        <w:gridCol w:w="1017"/>
        <w:gridCol w:w="1780"/>
        <w:gridCol w:w="1780"/>
        <w:gridCol w:w="1780"/>
        <w:gridCol w:w="1780"/>
        <w:gridCol w:w="1540"/>
      </w:tblGrid>
      <w:tr w:rsidR="00314D50" w:rsidRPr="00314D50" w:rsidTr="00314D50">
        <w:trPr>
          <w:trHeight w:val="1005"/>
        </w:trPr>
        <w:tc>
          <w:tcPr>
            <w:tcW w:w="13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П О Р І В Н Я Л Ь Н И Й   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щодо кількості звернень громадян, що надійшли                                                                                                                                                                      до Мінсоцполітики у І півріччі 2021 року</w:t>
            </w:r>
          </w:p>
        </w:tc>
      </w:tr>
      <w:tr w:rsidR="00314D50" w:rsidRPr="00314D50" w:rsidTr="00314D50">
        <w:trPr>
          <w:trHeight w:val="225"/>
        </w:trPr>
        <w:tc>
          <w:tcPr>
            <w:tcW w:w="13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</w:p>
        </w:tc>
      </w:tr>
      <w:tr w:rsidR="00314D50" w:rsidRPr="00314D50" w:rsidTr="00314D50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 півріччя 2021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 півріччя 2020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EFE2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зміна кількості звернень</w:t>
            </w:r>
          </w:p>
        </w:tc>
      </w:tr>
      <w:tr w:rsidR="00314D50" w:rsidRPr="00314D50" w:rsidTr="00314D50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Відсотки від загальної кількості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 абсолютних показниках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vAlign w:val="center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відносних показниках 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-24,1%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-22,9%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837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7,2%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7,9%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-26,6%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794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-22,3%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-24,4%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-18,5%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-17,2%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0,7%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7,9%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-38,8%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-7,4%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-20,5%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6,3%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-10,5%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-21,5%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-8,2%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1,7%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-10,4%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2,2%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-26,9%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1,6%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-4,7%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8,9%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8,0%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-10,1%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-12,9%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-13,2%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-4,7%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1,3%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-10,1%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 обл.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2,1%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-5,3%</w:t>
            </w:r>
          </w:p>
        </w:tc>
      </w:tr>
      <w:tr w:rsidR="00314D50" w:rsidRPr="00314D50" w:rsidTr="00314D50">
        <w:trPr>
          <w:trHeight w:val="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16,5%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2857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19,8%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-934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-32,7%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200,0%</w:t>
            </w:r>
          </w:p>
        </w:tc>
      </w:tr>
      <w:tr w:rsidR="00314D50" w:rsidRPr="00314D50" w:rsidTr="00314D50">
        <w:trPr>
          <w:trHeight w:val="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0,1%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80,0%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країни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3,0%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1,5%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62,9%</w:t>
            </w:r>
          </w:p>
        </w:tc>
      </w:tr>
      <w:tr w:rsidR="00314D50" w:rsidRPr="00314D50" w:rsidTr="00314D50">
        <w:trPr>
          <w:trHeight w:val="2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0,9%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1,0%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lang w:eastAsia="uk-UA"/>
              </w:rPr>
              <w:t>-20,9%</w:t>
            </w:r>
          </w:p>
        </w:tc>
      </w:tr>
      <w:tr w:rsidR="00314D50" w:rsidRPr="00314D50" w:rsidTr="00314D50">
        <w:trPr>
          <w:trHeight w:val="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-2763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EFE2"/>
            <w:noWrap/>
            <w:vAlign w:val="bottom"/>
            <w:hideMark/>
          </w:tcPr>
          <w:p w:rsidR="00314D50" w:rsidRPr="00314D50" w:rsidRDefault="00314D50" w:rsidP="00314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14D50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-19,2%</w:t>
            </w:r>
          </w:p>
        </w:tc>
      </w:tr>
    </w:tbl>
    <w:p w:rsidR="00867E2F" w:rsidRDefault="00314D50" w:rsidP="00314D50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49B6514A" wp14:editId="6C2A584F">
            <wp:extent cx="9290050" cy="7065034"/>
            <wp:effectExtent l="0" t="0" r="6350" b="254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Sect="00314D50">
      <w:pgSz w:w="16838" w:h="11906" w:orient="landscape"/>
      <w:pgMar w:top="142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79"/>
    <w:rsid w:val="000001CD"/>
    <w:rsid w:val="000F2807"/>
    <w:rsid w:val="001036AD"/>
    <w:rsid w:val="00103D3C"/>
    <w:rsid w:val="001B4578"/>
    <w:rsid w:val="00275F02"/>
    <w:rsid w:val="00283955"/>
    <w:rsid w:val="00295674"/>
    <w:rsid w:val="002F174B"/>
    <w:rsid w:val="00314D50"/>
    <w:rsid w:val="00331FB9"/>
    <w:rsid w:val="0039525D"/>
    <w:rsid w:val="00395EC1"/>
    <w:rsid w:val="003D7A73"/>
    <w:rsid w:val="004365D1"/>
    <w:rsid w:val="00477F65"/>
    <w:rsid w:val="004D2F1B"/>
    <w:rsid w:val="00505A1B"/>
    <w:rsid w:val="005377DB"/>
    <w:rsid w:val="005B2879"/>
    <w:rsid w:val="006A15A8"/>
    <w:rsid w:val="006C36D8"/>
    <w:rsid w:val="006E3FA2"/>
    <w:rsid w:val="00742771"/>
    <w:rsid w:val="008036B5"/>
    <w:rsid w:val="00886040"/>
    <w:rsid w:val="008B52C0"/>
    <w:rsid w:val="008C60BD"/>
    <w:rsid w:val="00950767"/>
    <w:rsid w:val="009628F1"/>
    <w:rsid w:val="009A6C77"/>
    <w:rsid w:val="00AD69B2"/>
    <w:rsid w:val="00AE57E1"/>
    <w:rsid w:val="00C3113F"/>
    <w:rsid w:val="00F615FC"/>
    <w:rsid w:val="00F75D5E"/>
    <w:rsid w:val="00FB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08AA-4C41-4A68-9963-ACDAE930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.v.galinovska\Desktop\&#1047;&#1042;&#1043;%202021\&#1090;&#1072;&#1073;&#1083;.%202,%20&#1076;&#1110;&#1072;&#1075;&#1088;.%202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uk-UA"/>
              <a:t>Кількість звернень громадян, що надійшли до Міністерства
 у І півріччі</a:t>
            </a:r>
            <a:r>
              <a:rPr lang="uk-UA" baseline="0"/>
              <a:t> </a:t>
            </a:r>
            <a:r>
              <a:rPr lang="uk-UA"/>
              <a:t>2021 року у розрізі регіонів</a:t>
            </a:r>
          </a:p>
        </c:rich>
      </c:tx>
      <c:layout>
        <c:manualLayout>
          <c:xMode val="edge"/>
          <c:yMode val="edge"/>
          <c:x val="0.22566383295008477"/>
          <c:y val="7.112367104618435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1991150442477874E-2"/>
          <c:y val="0.12091038406827881"/>
          <c:w val="0.94358407079646023"/>
          <c:h val="0.70839260312944519"/>
        </c:manualLayout>
      </c:layout>
      <c:barChart>
        <c:barDir val="col"/>
        <c:grouping val="clustered"/>
        <c:varyColors val="0"/>
        <c:ser>
          <c:idx val="0"/>
          <c:order val="0"/>
          <c:tx>
            <c:v>І півріччя 2021</c:v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Дніпропетровська обл.</c:v>
                </c:pt>
                <c:pt idx="3">
                  <c:v>Київська обл.</c:v>
                </c:pt>
                <c:pt idx="4">
                  <c:v>Львівська обл.</c:v>
                </c:pt>
                <c:pt idx="5">
                  <c:v>Донецька обл.</c:v>
                </c:pt>
                <c:pt idx="6">
                  <c:v>Одеська обл.</c:v>
                </c:pt>
                <c:pt idx="7">
                  <c:v>Запорізька обл.</c:v>
                </c:pt>
                <c:pt idx="8">
                  <c:v>Полтавська обл.</c:v>
                </c:pt>
                <c:pt idx="9">
                  <c:v>Інші країни</c:v>
                </c:pt>
                <c:pt idx="10">
                  <c:v>Черкаська обл.</c:v>
                </c:pt>
                <c:pt idx="11">
                  <c:v>Вінницька обл.</c:v>
                </c:pt>
                <c:pt idx="12">
                  <c:v>Житомирська обл.</c:v>
                </c:pt>
                <c:pt idx="13">
                  <c:v>Івано-Франківська обл.</c:v>
                </c:pt>
                <c:pt idx="14">
                  <c:v>Чернігівська обл.</c:v>
                </c:pt>
                <c:pt idx="15">
                  <c:v>Миколаївська обл.</c:v>
                </c:pt>
                <c:pt idx="16">
                  <c:v>Хмельницька обл.</c:v>
                </c:pt>
                <c:pt idx="17">
                  <c:v>Сумська обл.</c:v>
                </c:pt>
                <c:pt idx="18">
                  <c:v>Луганська обл.</c:v>
                </c:pt>
                <c:pt idx="19">
                  <c:v>Херсонська обл.</c:v>
                </c:pt>
                <c:pt idx="20">
                  <c:v>Рівненська обл.</c:v>
                </c:pt>
                <c:pt idx="21">
                  <c:v>Кіровоградська обл.</c:v>
                </c:pt>
                <c:pt idx="22">
                  <c:v>Тернопільська обл.</c:v>
                </c:pt>
                <c:pt idx="23">
                  <c:v>Чернівецька обл.</c:v>
                </c:pt>
                <c:pt idx="24">
                  <c:v>Волинська обл.</c:v>
                </c:pt>
                <c:pt idx="25">
                  <c:v>Закарпатська обл.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'2'!$C$6:$C$34</c:f>
              <c:numCache>
                <c:formatCode>General</c:formatCode>
                <c:ptCount val="29"/>
                <c:pt idx="0">
                  <c:v>1923</c:v>
                </c:pt>
                <c:pt idx="1">
                  <c:v>1037</c:v>
                </c:pt>
                <c:pt idx="2">
                  <c:v>837</c:v>
                </c:pt>
                <c:pt idx="3">
                  <c:v>697</c:v>
                </c:pt>
                <c:pt idx="4">
                  <c:v>643</c:v>
                </c:pt>
                <c:pt idx="5">
                  <c:v>617</c:v>
                </c:pt>
                <c:pt idx="6">
                  <c:v>516</c:v>
                </c:pt>
                <c:pt idx="7">
                  <c:v>490</c:v>
                </c:pt>
                <c:pt idx="8">
                  <c:v>484</c:v>
                </c:pt>
                <c:pt idx="9">
                  <c:v>347</c:v>
                </c:pt>
                <c:pt idx="10">
                  <c:v>343</c:v>
                </c:pt>
                <c:pt idx="11">
                  <c:v>328</c:v>
                </c:pt>
                <c:pt idx="12">
                  <c:v>309</c:v>
                </c:pt>
                <c:pt idx="13">
                  <c:v>292</c:v>
                </c:pt>
                <c:pt idx="14">
                  <c:v>287</c:v>
                </c:pt>
                <c:pt idx="15">
                  <c:v>265</c:v>
                </c:pt>
                <c:pt idx="16">
                  <c:v>262</c:v>
                </c:pt>
                <c:pt idx="17">
                  <c:v>253</c:v>
                </c:pt>
                <c:pt idx="18">
                  <c:v>245</c:v>
                </c:pt>
                <c:pt idx="19">
                  <c:v>243</c:v>
                </c:pt>
                <c:pt idx="20">
                  <c:v>224</c:v>
                </c:pt>
                <c:pt idx="21">
                  <c:v>201</c:v>
                </c:pt>
                <c:pt idx="22">
                  <c:v>182</c:v>
                </c:pt>
                <c:pt idx="23">
                  <c:v>169</c:v>
                </c:pt>
                <c:pt idx="24">
                  <c:v>165</c:v>
                </c:pt>
                <c:pt idx="25">
                  <c:v>163</c:v>
                </c:pt>
                <c:pt idx="26">
                  <c:v>110</c:v>
                </c:pt>
                <c:pt idx="27">
                  <c:v>9</c:v>
                </c:pt>
                <c:pt idx="2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51-478B-9EEA-6AD61C50D5CF}"/>
            </c:ext>
          </c:extLst>
        </c:ser>
        <c:ser>
          <c:idx val="1"/>
          <c:order val="1"/>
          <c:tx>
            <c:v>І півріччя 2020</c:v>
          </c:tx>
          <c:spPr>
            <a:solidFill>
              <a:srgbClr val="FFFF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'2'!$B$6:$B$34</c:f>
              <c:strCache>
                <c:ptCount val="29"/>
                <c:pt idx="0">
                  <c:v>м. Київ</c:v>
                </c:pt>
                <c:pt idx="1">
                  <c:v>Харківська обл.</c:v>
                </c:pt>
                <c:pt idx="2">
                  <c:v>Дніпропетровська обл.</c:v>
                </c:pt>
                <c:pt idx="3">
                  <c:v>Київська обл.</c:v>
                </c:pt>
                <c:pt idx="4">
                  <c:v>Львівська обл.</c:v>
                </c:pt>
                <c:pt idx="5">
                  <c:v>Донецька обл.</c:v>
                </c:pt>
                <c:pt idx="6">
                  <c:v>Одеська обл.</c:v>
                </c:pt>
                <c:pt idx="7">
                  <c:v>Запорізька обл.</c:v>
                </c:pt>
                <c:pt idx="8">
                  <c:v>Полтавська обл.</c:v>
                </c:pt>
                <c:pt idx="9">
                  <c:v>Інші країни</c:v>
                </c:pt>
                <c:pt idx="10">
                  <c:v>Черкаська обл.</c:v>
                </c:pt>
                <c:pt idx="11">
                  <c:v>Вінницька обл.</c:v>
                </c:pt>
                <c:pt idx="12">
                  <c:v>Житомирська обл.</c:v>
                </c:pt>
                <c:pt idx="13">
                  <c:v>Івано-Франківська обл.</c:v>
                </c:pt>
                <c:pt idx="14">
                  <c:v>Чернігівська обл.</c:v>
                </c:pt>
                <c:pt idx="15">
                  <c:v>Миколаївська обл.</c:v>
                </c:pt>
                <c:pt idx="16">
                  <c:v>Хмельницька обл.</c:v>
                </c:pt>
                <c:pt idx="17">
                  <c:v>Сумська обл.</c:v>
                </c:pt>
                <c:pt idx="18">
                  <c:v>Луганська обл.</c:v>
                </c:pt>
                <c:pt idx="19">
                  <c:v>Херсонська обл.</c:v>
                </c:pt>
                <c:pt idx="20">
                  <c:v>Рівненська обл.</c:v>
                </c:pt>
                <c:pt idx="21">
                  <c:v>Кіровоградська обл.</c:v>
                </c:pt>
                <c:pt idx="22">
                  <c:v>Тернопільська обл.</c:v>
                </c:pt>
                <c:pt idx="23">
                  <c:v>Чернівецька обл.</c:v>
                </c:pt>
                <c:pt idx="24">
                  <c:v>Волинська обл.</c:v>
                </c:pt>
                <c:pt idx="25">
                  <c:v>Закарпатська обл.</c:v>
                </c:pt>
                <c:pt idx="26">
                  <c:v>Регіон не визначено</c:v>
                </c:pt>
                <c:pt idx="27">
                  <c:v>АР Крим</c:v>
                </c:pt>
                <c:pt idx="28">
                  <c:v>м. Севастополь</c:v>
                </c:pt>
              </c:strCache>
            </c:strRef>
          </c:cat>
          <c:val>
            <c:numRef>
              <c:f>'2'!$E$6:$E$34</c:f>
              <c:numCache>
                <c:formatCode>General</c:formatCode>
                <c:ptCount val="29"/>
                <c:pt idx="0">
                  <c:v>2857</c:v>
                </c:pt>
                <c:pt idx="1">
                  <c:v>1153</c:v>
                </c:pt>
                <c:pt idx="2">
                  <c:v>1140</c:v>
                </c:pt>
                <c:pt idx="3">
                  <c:v>1139</c:v>
                </c:pt>
                <c:pt idx="4">
                  <c:v>605</c:v>
                </c:pt>
                <c:pt idx="5">
                  <c:v>794</c:v>
                </c:pt>
                <c:pt idx="6">
                  <c:v>657</c:v>
                </c:pt>
                <c:pt idx="7">
                  <c:v>592</c:v>
                </c:pt>
                <c:pt idx="8">
                  <c:v>527</c:v>
                </c:pt>
                <c:pt idx="9">
                  <c:v>213</c:v>
                </c:pt>
                <c:pt idx="10">
                  <c:v>360</c:v>
                </c:pt>
                <c:pt idx="11">
                  <c:v>432</c:v>
                </c:pt>
                <c:pt idx="12">
                  <c:v>409</c:v>
                </c:pt>
                <c:pt idx="13">
                  <c:v>290</c:v>
                </c:pt>
                <c:pt idx="14">
                  <c:v>303</c:v>
                </c:pt>
                <c:pt idx="15">
                  <c:v>296</c:v>
                </c:pt>
                <c:pt idx="16">
                  <c:v>302</c:v>
                </c:pt>
                <c:pt idx="17">
                  <c:v>346</c:v>
                </c:pt>
                <c:pt idx="18">
                  <c:v>308</c:v>
                </c:pt>
                <c:pt idx="19">
                  <c:v>279</c:v>
                </c:pt>
                <c:pt idx="20">
                  <c:v>250</c:v>
                </c:pt>
                <c:pt idx="21">
                  <c:v>217</c:v>
                </c:pt>
                <c:pt idx="22">
                  <c:v>191</c:v>
                </c:pt>
                <c:pt idx="23">
                  <c:v>188</c:v>
                </c:pt>
                <c:pt idx="24">
                  <c:v>214</c:v>
                </c:pt>
                <c:pt idx="25">
                  <c:v>200</c:v>
                </c:pt>
                <c:pt idx="26">
                  <c:v>139</c:v>
                </c:pt>
                <c:pt idx="27">
                  <c:v>5</c:v>
                </c:pt>
                <c:pt idx="2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51-478B-9EEA-6AD61C50D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180520"/>
        <c:axId val="1"/>
      </c:barChart>
      <c:catAx>
        <c:axId val="300180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uk-UA"/>
          </a:p>
        </c:txPr>
        <c:crossAx val="300180520"/>
        <c:crosses val="autoZero"/>
        <c:crossBetween val="between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9328931781757366"/>
          <c:y val="0.25242491577120152"/>
          <c:w val="0.30051634032471608"/>
          <c:h val="6.9227222139924272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00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3</cp:revision>
  <dcterms:created xsi:type="dcterms:W3CDTF">2021-07-05T10:29:00Z</dcterms:created>
  <dcterms:modified xsi:type="dcterms:W3CDTF">2021-07-07T13:19:00Z</dcterms:modified>
</cp:coreProperties>
</file>