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0" w:type="dxa"/>
        <w:tblLook w:val="04A0" w:firstRow="1" w:lastRow="0" w:firstColumn="1" w:lastColumn="0" w:noHBand="0" w:noVBand="1"/>
      </w:tblPr>
      <w:tblGrid>
        <w:gridCol w:w="489"/>
        <w:gridCol w:w="2301"/>
        <w:gridCol w:w="2064"/>
        <w:gridCol w:w="1509"/>
        <w:gridCol w:w="1909"/>
        <w:gridCol w:w="734"/>
      </w:tblGrid>
      <w:tr w:rsidR="00F61487" w:rsidRPr="00F61487" w:rsidTr="00F61487">
        <w:trPr>
          <w:trHeight w:val="1530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А Н А Л І 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звернень громадян, що надійшли                                                                                                                                                                                     до Міністерства соціальної політики України                                                                                                                            у І півріччі 2019 року</w:t>
            </w:r>
          </w:p>
        </w:tc>
      </w:tr>
      <w:tr w:rsidR="00F61487" w:rsidRPr="00F61487" w:rsidTr="00F61487">
        <w:trPr>
          <w:trHeight w:val="720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uk-UA"/>
              </w:rPr>
              <w:t>у розрізі регіонів України</w:t>
            </w:r>
          </w:p>
        </w:tc>
      </w:tr>
      <w:tr w:rsidR="00F61487" w:rsidRPr="00F61487" w:rsidTr="00F61487">
        <w:trPr>
          <w:trHeight w:val="555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Регіон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Чисельність                      наявного населення                                        на 01.05.2019                                          (за даними Державної служби статистики України)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звернень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Місце</w:t>
            </w:r>
          </w:p>
        </w:tc>
      </w:tr>
      <w:tr w:rsidR="00F61487" w:rsidRPr="00F61487" w:rsidTr="00F61487">
        <w:trPr>
          <w:trHeight w:val="1005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всього 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 розрахунку                                 на 100 тис. населення</w:t>
            </w: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Вінницька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1554435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451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29,0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Волинська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1033871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27,4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Дніпропетровська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3195732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40,7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Донецька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4154487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26,2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Житомирська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1215930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40,4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Закарпатська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1255284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218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17,4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Запорізька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1699635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633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37,2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Івано-Франківська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1370555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30,9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Київська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1771405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1306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73,7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Кіровоградська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941395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36,8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Луганська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2146660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22,4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Львівська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2516780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871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34,6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Миколаївська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1126863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28,7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Одеська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2378237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682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28,7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Полтавська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1396049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670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48,0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Рівненська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1155701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32,4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Сумська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1076842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573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53,2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Тернопільська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1043138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16,2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Харківська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2670525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1341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50,2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Херсонська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1034100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343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33,2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Хмельницька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1261217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364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28,9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Черкаська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1201301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625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52,0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Чернівецька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902845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21,6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Чернігівська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1000653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47,9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Київ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2952294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3762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127,4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м. Севастополь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АР Крим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з-за кордону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</w:tr>
      <w:tr w:rsidR="00F61487" w:rsidRPr="00F61487" w:rsidTr="00F61487">
        <w:trPr>
          <w:trHeight w:val="34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регіон не визначено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  <w:t> </w:t>
            </w:r>
          </w:p>
        </w:tc>
      </w:tr>
      <w:tr w:rsidR="00F61487" w:rsidRPr="00F61487" w:rsidTr="00F61487">
        <w:trPr>
          <w:trHeight w:val="37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1487" w:rsidRPr="00F61487" w:rsidRDefault="00F61487" w:rsidP="00F614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42055934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18231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43,3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1487" w:rsidRPr="00F61487" w:rsidRDefault="00F61487" w:rsidP="00F614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</w:pPr>
            <w:r w:rsidRPr="00F6148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uk-UA"/>
              </w:rPr>
              <w:t> </w:t>
            </w:r>
          </w:p>
        </w:tc>
      </w:tr>
    </w:tbl>
    <w:p w:rsidR="0003756B" w:rsidRDefault="0003756B"/>
    <w:p w:rsidR="00F61487" w:rsidRDefault="00F61487">
      <w:r>
        <w:rPr>
          <w:noProof/>
          <w:lang w:eastAsia="uk-UA"/>
        </w:rPr>
        <w:lastRenderedPageBreak/>
        <w:drawing>
          <wp:inline distT="0" distB="0" distL="0" distR="0" wp14:anchorId="3BE09121" wp14:editId="48CF2741">
            <wp:extent cx="5629275" cy="9420225"/>
            <wp:effectExtent l="0" t="0" r="28575" b="9525"/>
            <wp:docPr id="1" name="Ді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sectPr w:rsidR="00F614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04"/>
    <w:rsid w:val="0003756B"/>
    <w:rsid w:val="00286B04"/>
    <w:rsid w:val="004220C3"/>
    <w:rsid w:val="005109F1"/>
    <w:rsid w:val="00867DF9"/>
    <w:rsid w:val="00F5705E"/>
    <w:rsid w:val="00F6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5C3F"/>
  <w15:chartTrackingRefBased/>
  <w15:docId w15:val="{912C2F84-CCF5-4BD0-BDBE-44F993BD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8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i.v.galinovska\Desktop\&#1047;&#1074;&#1110;&#1090;%20&#1047;&#1042;&#1043;%20&#1030;%20&#1087;&#1110;&#1074;&#1088;&#1110;&#1095;&#1095;&#1103;%202019\&#1085;&#1072;%20100%20&#1090;&#1080;&#1089;.%20&#1085;&#1072;&#1089;&#1077;&#1083;&#1077;&#1085;&#1085;&#1103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baseline="0">
                <a:latin typeface="Times New Roman" pitchFamily="18" charset="0"/>
              </a:defRPr>
            </a:pPr>
            <a:r>
              <a:rPr lang="uk-UA" sz="1400" b="0" i="0" baseline="0">
                <a:latin typeface="Times New Roman" pitchFamily="18" charset="0"/>
              </a:rPr>
              <a:t>Кількість звернень громадян, що надійшли                                       до Мінсоцполітики у І півріччі 2019 року                                                                                в розрахунку на 100 тис. населення у розрізі регіонів</a:t>
            </a:r>
          </a:p>
          <a:p>
            <a:pPr>
              <a:defRPr baseline="0">
                <a:latin typeface="Times New Roman" pitchFamily="18" charset="0"/>
              </a:defRPr>
            </a:pPr>
            <a:endParaRPr lang="uk-UA" baseline="0">
              <a:latin typeface="Times New Roman" pitchFamily="18" charset="0"/>
            </a:endParaRPr>
          </a:p>
        </c:rich>
      </c:tx>
      <c:overlay val="0"/>
      <c:spPr>
        <a:ln>
          <a:noFill/>
        </a:ln>
      </c:spPr>
    </c:title>
    <c:autoTitleDeleted val="0"/>
    <c:view3D>
      <c:rotX val="15"/>
      <c:rotY val="5"/>
      <c:depthPercent val="100"/>
      <c:rAngAx val="1"/>
    </c:view3D>
    <c:floor>
      <c:thickness val="0"/>
    </c:floor>
    <c:sideWall>
      <c:thickness val="0"/>
      <c:spPr>
        <a:noFill/>
        <a:ln>
          <a:solidFill>
            <a:schemeClr val="accent1"/>
          </a:solidFill>
        </a:ln>
      </c:spPr>
    </c:sideWall>
    <c:backWall>
      <c:thickness val="0"/>
      <c:spPr>
        <a:noFill/>
        <a:ln>
          <a:solidFill>
            <a:schemeClr val="accent1"/>
          </a:solidFill>
        </a:ln>
      </c:spPr>
    </c:backWall>
    <c:plotArea>
      <c:layout>
        <c:manualLayout>
          <c:layoutTarget val="inner"/>
          <c:xMode val="edge"/>
          <c:yMode val="edge"/>
          <c:x val="0.2161006678463136"/>
          <c:y val="0.13677244112894005"/>
          <c:w val="0.78389933215368646"/>
          <c:h val="0.85280242679047691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24"/>
              <c:layout>
                <c:manualLayout>
                  <c:x val="6.4059405509634681E-3"/>
                  <c:y val="-2.3052013603194949E-3"/>
                </c:manualLayout>
              </c:layout>
              <c:spPr/>
              <c:txPr>
                <a:bodyPr/>
                <a:lstStyle/>
                <a:p>
                  <a:pPr>
                    <a:defRPr sz="1100" baseline="0">
                      <a:latin typeface="Times New Roman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D00-4D37-8717-672F1E606216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'1'!$B$8:$B$32</c:f>
              <c:strCache>
                <c:ptCount val="25"/>
                <c:pt idx="0">
                  <c:v>Тернопільська</c:v>
                </c:pt>
                <c:pt idx="1">
                  <c:v>Закарпатська</c:v>
                </c:pt>
                <c:pt idx="2">
                  <c:v>Чернівецька</c:v>
                </c:pt>
                <c:pt idx="3">
                  <c:v>Луганська</c:v>
                </c:pt>
                <c:pt idx="4">
                  <c:v>Донецька</c:v>
                </c:pt>
                <c:pt idx="5">
                  <c:v>Волинська</c:v>
                </c:pt>
                <c:pt idx="6">
                  <c:v>Миколаївська</c:v>
                </c:pt>
                <c:pt idx="7">
                  <c:v>Одеська</c:v>
                </c:pt>
                <c:pt idx="8">
                  <c:v>Хмельницька</c:v>
                </c:pt>
                <c:pt idx="9">
                  <c:v>Вінницька</c:v>
                </c:pt>
                <c:pt idx="10">
                  <c:v>Івано-Франківська</c:v>
                </c:pt>
                <c:pt idx="11">
                  <c:v>Рівненська</c:v>
                </c:pt>
                <c:pt idx="12">
                  <c:v>Херсонська</c:v>
                </c:pt>
                <c:pt idx="13">
                  <c:v>Львівська</c:v>
                </c:pt>
                <c:pt idx="14">
                  <c:v>Кіровоградська</c:v>
                </c:pt>
                <c:pt idx="15">
                  <c:v>Запорізька</c:v>
                </c:pt>
                <c:pt idx="16">
                  <c:v>Житомирська</c:v>
                </c:pt>
                <c:pt idx="17">
                  <c:v>Дніпропетровська</c:v>
                </c:pt>
                <c:pt idx="18">
                  <c:v>Чернігівська</c:v>
                </c:pt>
                <c:pt idx="19">
                  <c:v>Полтавська</c:v>
                </c:pt>
                <c:pt idx="20">
                  <c:v>Харківська</c:v>
                </c:pt>
                <c:pt idx="21">
                  <c:v>Черкаська</c:v>
                </c:pt>
                <c:pt idx="22">
                  <c:v>Сумська</c:v>
                </c:pt>
                <c:pt idx="23">
                  <c:v>Київська</c:v>
                </c:pt>
                <c:pt idx="24">
                  <c:v>м. Київ</c:v>
                </c:pt>
              </c:strCache>
            </c:strRef>
          </c:cat>
          <c:val>
            <c:numRef>
              <c:f>'1'!$E$8:$E$32</c:f>
              <c:numCache>
                <c:formatCode>0.0</c:formatCode>
                <c:ptCount val="25"/>
                <c:pt idx="0">
                  <c:v>16.201116247322982</c:v>
                </c:pt>
                <c:pt idx="1">
                  <c:v>17.366587959378119</c:v>
                </c:pt>
                <c:pt idx="2">
                  <c:v>21.598391750521962</c:v>
                </c:pt>
                <c:pt idx="3">
                  <c:v>22.360317889185993</c:v>
                </c:pt>
                <c:pt idx="4">
                  <c:v>26.212622641495809</c:v>
                </c:pt>
                <c:pt idx="5">
                  <c:v>27.37285406012936</c:v>
                </c:pt>
                <c:pt idx="6">
                  <c:v>28.663644116454261</c:v>
                </c:pt>
                <c:pt idx="7">
                  <c:v>28.676704634567539</c:v>
                </c:pt>
                <c:pt idx="8">
                  <c:v>28.861012815399729</c:v>
                </c:pt>
                <c:pt idx="9">
                  <c:v>29.01375741024874</c:v>
                </c:pt>
                <c:pt idx="10">
                  <c:v>30.863409348767469</c:v>
                </c:pt>
                <c:pt idx="11">
                  <c:v>32.447839017185238</c:v>
                </c:pt>
                <c:pt idx="12">
                  <c:v>33.16893917416111</c:v>
                </c:pt>
                <c:pt idx="13">
                  <c:v>34.607713030141689</c:v>
                </c:pt>
                <c:pt idx="14">
                  <c:v>36.753966188475616</c:v>
                </c:pt>
                <c:pt idx="15">
                  <c:v>37.243290471189404</c:v>
                </c:pt>
                <c:pt idx="16">
                  <c:v>40.380614015609453</c:v>
                </c:pt>
                <c:pt idx="17">
                  <c:v>40.741839428337549</c:v>
                </c:pt>
                <c:pt idx="18">
                  <c:v>47.868741711662288</c:v>
                </c:pt>
                <c:pt idx="19">
                  <c:v>47.992584787496718</c:v>
                </c:pt>
                <c:pt idx="20">
                  <c:v>50.214845395568283</c:v>
                </c:pt>
                <c:pt idx="21">
                  <c:v>52.026927472798242</c:v>
                </c:pt>
                <c:pt idx="22">
                  <c:v>53.211148896495494</c:v>
                </c:pt>
                <c:pt idx="23">
                  <c:v>73.726787493543256</c:v>
                </c:pt>
                <c:pt idx="24">
                  <c:v>127.42633355621086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00-4D37-8717-672F1E6062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63039823"/>
        <c:axId val="1"/>
        <c:axId val="0"/>
      </c:bar3DChart>
      <c:catAx>
        <c:axId val="20630398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 baseline="0">
                <a:latin typeface="Times New Roman" pitchFamily="18" charset="0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2063039823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0.66335</cdr:x>
      <cdr:y>0.90809</cdr:y>
    </cdr:from>
    <cdr:to>
      <cdr:x>0.97015</cdr:x>
      <cdr:y>0.97303</cdr:y>
    </cdr:to>
    <cdr:sp macro="" textlink="">
      <cdr:nvSpPr>
        <cdr:cNvPr id="2" name="Прямокутник 1"/>
        <cdr:cNvSpPr/>
      </cdr:nvSpPr>
      <cdr:spPr>
        <a:xfrm xmlns:a="http://schemas.openxmlformats.org/drawingml/2006/main">
          <a:off x="3810001" y="8658225"/>
          <a:ext cx="1762124" cy="61912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uk-UA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Всього </a:t>
          </a:r>
        </a:p>
        <a:p xmlns:a="http://schemas.openxmlformats.org/drawingml/2006/main">
          <a:pPr algn="ctr"/>
          <a:r>
            <a:rPr lang="uk-UA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18231 звернення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1358</Words>
  <Characters>775</Characters>
  <Application>Microsoft Office Word</Application>
  <DocSecurity>0</DocSecurity>
  <Lines>6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Галиновська Ірина</dc:creator>
  <cp:keywords/>
  <dc:description/>
  <cp:lastModifiedBy>Галиновська Ірина</cp:lastModifiedBy>
  <cp:revision>2</cp:revision>
  <dcterms:created xsi:type="dcterms:W3CDTF">2019-07-08T10:55:00Z</dcterms:created>
  <dcterms:modified xsi:type="dcterms:W3CDTF">2019-07-08T10:55:00Z</dcterms:modified>
</cp:coreProperties>
</file>