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3443" w14:textId="77777777" w:rsidR="0003756B" w:rsidRDefault="00C50604">
      <w:bookmarkStart w:id="0" w:name="_GoBack"/>
      <w:r>
        <w:rPr>
          <w:noProof/>
          <w:lang w:eastAsia="uk-UA"/>
        </w:rPr>
        <w:drawing>
          <wp:inline distT="0" distB="0" distL="0" distR="0" wp14:anchorId="6891A9D2" wp14:editId="0E09A119">
            <wp:extent cx="10220325" cy="6877050"/>
            <wp:effectExtent l="0" t="0" r="9525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03756B" w:rsidSect="004C78BC">
      <w:pgSz w:w="16838" w:h="11906" w:orient="landscape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46"/>
    <w:rsid w:val="000147CC"/>
    <w:rsid w:val="0003756B"/>
    <w:rsid w:val="000E2386"/>
    <w:rsid w:val="001106AA"/>
    <w:rsid w:val="001A2124"/>
    <w:rsid w:val="002654AC"/>
    <w:rsid w:val="002D7540"/>
    <w:rsid w:val="004007F5"/>
    <w:rsid w:val="004220C3"/>
    <w:rsid w:val="00445D46"/>
    <w:rsid w:val="004C78BC"/>
    <w:rsid w:val="005109F1"/>
    <w:rsid w:val="005647E7"/>
    <w:rsid w:val="005A5E95"/>
    <w:rsid w:val="007C0CA6"/>
    <w:rsid w:val="007F326A"/>
    <w:rsid w:val="00815028"/>
    <w:rsid w:val="00867DF9"/>
    <w:rsid w:val="00890BFA"/>
    <w:rsid w:val="008C767D"/>
    <w:rsid w:val="008D2336"/>
    <w:rsid w:val="00911420"/>
    <w:rsid w:val="0093596D"/>
    <w:rsid w:val="009E1992"/>
    <w:rsid w:val="00AE54F4"/>
    <w:rsid w:val="00BE2594"/>
    <w:rsid w:val="00C50604"/>
    <w:rsid w:val="00CB678B"/>
    <w:rsid w:val="00D01D24"/>
    <w:rsid w:val="00D07472"/>
    <w:rsid w:val="00D659B2"/>
    <w:rsid w:val="00D66878"/>
    <w:rsid w:val="00F03E75"/>
    <w:rsid w:val="00F44F4F"/>
    <w:rsid w:val="00F5705E"/>
    <w:rsid w:val="00FB206F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6B71"/>
  <w15:chartTrackingRefBased/>
  <w15:docId w15:val="{C6CC8602-5470-4F55-9C8B-8340954E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66878"/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890B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7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7F9B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F7F9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7F9B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F7F9B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815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v.galinovska\Desktop\&#1030;%20&#1087;&#1110;&#1074;&#1088;&#1110;&#1095;&#1095;&#1103;%202020\&#1087;&#1080;&#1090;&#1072;&#1085;&#1085;&#1103;%20&#1047;&#1042;&#1043;%20&#1030;%20&#1087;&#1110;&#1074;&#1088;&#1110;&#1095;&#1095;&#1103;%20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sm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cap="small" baseline="0"/>
              <a:t>ПИТАННЯ,</a:t>
            </a:r>
          </a:p>
          <a:p>
            <a:pPr>
              <a:defRPr cap="small"/>
            </a:pPr>
            <a:r>
              <a:rPr lang="uk-UA" cap="small" baseline="0"/>
              <a:t>що порушували громадяни у зверненнях до Мінсоцполітики</a:t>
            </a:r>
          </a:p>
          <a:p>
            <a:pPr>
              <a:defRPr cap="small"/>
            </a:pPr>
            <a:r>
              <a:rPr lang="uk-UA" cap="small" baseline="0"/>
              <a:t> у 2020 році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sm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20"/>
      <c:rotY val="250"/>
      <c:depthPercent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2635276702058058"/>
          <c:y val="0.25278045280311179"/>
          <c:w val="0.34694029945005678"/>
          <c:h val="0.33129151473515472"/>
        </c:manualLayout>
      </c:layout>
      <c:pie3DChart>
        <c:varyColors val="1"/>
        <c:ser>
          <c:idx val="1"/>
          <c:order val="0"/>
          <c:explosion val="4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9D4-4D69-9DB0-06F6F8CDF8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9D4-4D69-9DB0-06F6F8CDF8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C9D4-4D69-9DB0-06F6F8CDF8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C9D4-4D69-9DB0-06F6F8CDF80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C9D4-4D69-9DB0-06F6F8CDF80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C9D4-4D69-9DB0-06F6F8CDF80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C9D4-4D69-9DB0-06F6F8CDF80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C9D4-4D69-9DB0-06F6F8CDF80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C9D4-4D69-9DB0-06F6F8CDF80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C9D4-4D69-9DB0-06F6F8CDF80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C9D4-4D69-9DB0-06F6F8CDF80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C9D4-4D69-9DB0-06F6F8CDF803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9-C9D4-4D69-9DB0-06F6F8CDF803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B-C9D4-4D69-9DB0-06F6F8CDF803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D-C9D4-4D69-9DB0-06F6F8CDF803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F-C9D4-4D69-9DB0-06F6F8CDF803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1-C9D4-4D69-9DB0-06F6F8CDF803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3-C9D4-4D69-9DB0-06F6F8CDF803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5-C9D4-4D69-9DB0-06F6F8CDF803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7-C9D4-4D69-9DB0-06F6F8CDF803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9-C9D4-4D69-9DB0-06F6F8CDF803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B-C9D4-4D69-9DB0-06F6F8CDF803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D-C9D4-4D69-9DB0-06F6F8CDF803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F-C9D4-4D69-9DB0-06F6F8CDF803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1-C9D4-4D69-9DB0-06F6F8CDF803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33-C9D4-4D69-9DB0-06F6F8CDF803}"/>
              </c:ext>
            </c:extLst>
          </c:dPt>
          <c:dLbls>
            <c:dLbl>
              <c:idx val="0"/>
              <c:layout>
                <c:manualLayout>
                  <c:x val="9.5216933302009046E-2"/>
                  <c:y val="-0.1177063538198665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1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Пенсійне </a:t>
                    </a:r>
                  </a:p>
                  <a:p>
                    <a:pPr>
                      <a:defRPr sz="1050">
                        <a:solidFill>
                          <a:schemeClr val="accent1">
                            <a:lumMod val="75000"/>
                          </a:schemeClr>
                        </a:solidFill>
                      </a:defRPr>
                    </a:pPr>
                    <a:r>
                      <a:rPr lang="uk-UA" sz="1050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забезпечення </a:t>
                    </a:r>
                  </a:p>
                  <a:p>
                    <a:pPr>
                      <a:defRPr sz="1050">
                        <a:solidFill>
                          <a:schemeClr val="accent1">
                            <a:lumMod val="75000"/>
                          </a:schemeClr>
                        </a:solidFill>
                      </a:defRPr>
                    </a:pPr>
                    <a:r>
                      <a:rPr lang="uk-UA" sz="1050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6808 (26,0 %)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9D4-4D69-9DB0-06F6F8CDF803}"/>
                </c:ext>
              </c:extLst>
            </c:dLbl>
            <c:dLbl>
              <c:idx val="1"/>
              <c:layout>
                <c:manualLayout>
                  <c:x val="-4.3903057992207291E-2"/>
                  <c:y val="-4.63045676337437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2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Пільги </a:t>
                    </a:r>
                  </a:p>
                  <a:p>
                    <a:pPr>
                      <a:defRPr sz="1050">
                        <a:solidFill>
                          <a:schemeClr val="accent2">
                            <a:lumMod val="75000"/>
                          </a:schemeClr>
                        </a:solidFill>
                      </a:defRPr>
                    </a:pPr>
                    <a:r>
                      <a:rPr lang="uk-UA" sz="105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та компенсації </a:t>
                    </a:r>
                  </a:p>
                  <a:p>
                    <a:pPr>
                      <a:defRPr sz="1050">
                        <a:solidFill>
                          <a:schemeClr val="accent2">
                            <a:lumMod val="75000"/>
                          </a:schemeClr>
                        </a:solidFill>
                      </a:defRPr>
                    </a:pPr>
                    <a:r>
                      <a:rPr lang="uk-UA" sz="105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3306 (12,6 %)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9.1009630319975152E-2"/>
                      <c:h val="8.314988814317673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9D4-4D69-9DB0-06F6F8CDF803}"/>
                </c:ext>
              </c:extLst>
            </c:dLbl>
            <c:dLbl>
              <c:idx val="2"/>
              <c:layout>
                <c:manualLayout>
                  <c:x val="-3.23279753649659E-2"/>
                  <c:y val="-0.1149306135390794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EB2428B-9AD2-4C5C-B236-823A90F24C35}" type="CATEGORYNAME">
                      <a:rPr lang="uk-UA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accent6">
                              <a:lumMod val="75000"/>
                            </a:schemeClr>
                          </a:solidFill>
                        </a:defRPr>
                      </a:pPr>
                      <a:t>[ІМ’Я КАТЕГОРІЇ]</a:t>
                    </a:fld>
                    <a:endParaRPr lang="uk-UA" baseline="0">
                      <a:solidFill>
                        <a:schemeClr val="accent6">
                          <a:lumMod val="75000"/>
                        </a:schemeClr>
                      </a:solidFill>
                    </a:endParaRPr>
                  </a:p>
                  <a:p>
                    <a:pPr>
                      <a:defRPr>
                        <a:solidFill>
                          <a:schemeClr val="accent6">
                            <a:lumMod val="75000"/>
                          </a:schemeClr>
                        </a:solidFill>
                      </a:defRPr>
                    </a:pPr>
                    <a:r>
                      <a:rPr lang="uk-UA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2852 (10,9 %)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9D4-4D69-9DB0-06F6F8CDF803}"/>
                </c:ext>
              </c:extLst>
            </c:dLbl>
            <c:dLbl>
              <c:idx val="3"/>
              <c:layout>
                <c:manualLayout>
                  <c:x val="1.2861092363454662E-2"/>
                  <c:y val="-0.1286762539608525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4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179AAF6-D90F-4119-93AC-FE48B0AE1103}" type="CATEGORYNAME">
                      <a:rPr lang="uk-UA" sz="105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pPr>
                        <a:defRPr sz="1050">
                          <a:solidFill>
                            <a:schemeClr val="accent4">
                              <a:lumMod val="75000"/>
                            </a:schemeClr>
                          </a:solidFill>
                        </a:defRPr>
                      </a:pPr>
                      <a:t>[ІМ’Я КАТЕГОРІЇ]</a:t>
                    </a:fld>
                    <a:r>
                      <a:rPr lang="uk-UA" sz="105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 </a:t>
                    </a:r>
                  </a:p>
                  <a:p>
                    <a:pPr>
                      <a:defRPr sz="1050">
                        <a:solidFill>
                          <a:schemeClr val="accent4">
                            <a:lumMod val="75000"/>
                          </a:schemeClr>
                        </a:solidFill>
                      </a:defRPr>
                    </a:pPr>
                    <a:r>
                      <a:rPr lang="uk-UA" sz="1050" baseline="0">
                        <a:solidFill>
                          <a:schemeClr val="accent4">
                            <a:lumMod val="75000"/>
                          </a:schemeClr>
                        </a:solidFill>
                      </a:rPr>
                      <a:t>2615 (10,0 %)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4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399365079365077"/>
                      <c:h val="7.587258860475547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9D4-4D69-9DB0-06F6F8CDF803}"/>
                </c:ext>
              </c:extLst>
            </c:dLbl>
            <c:dLbl>
              <c:idx val="4"/>
              <c:layout>
                <c:manualLayout>
                  <c:x val="4.9761862931433774E-2"/>
                  <c:y val="-0.147818168562263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1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168575C-69F8-4EB0-A684-08D0FDB17E66}" type="CATEGORYNAME">
                      <a:rPr lang="uk-UA" sz="1050" baseline="0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pPr>
                        <a:defRPr sz="1050">
                          <a:solidFill>
                            <a:schemeClr val="accent1">
                              <a:lumMod val="50000"/>
                            </a:schemeClr>
                          </a:solidFill>
                        </a:defRPr>
                      </a:pPr>
                      <a:t>[ІМ’Я КАТЕГОРІЇ]</a:t>
                    </a:fld>
                    <a:r>
                      <a:rPr lang="uk-UA" sz="1050" baseline="0">
                        <a:solidFill>
                          <a:schemeClr val="accent1">
                            <a:lumMod val="50000"/>
                          </a:schemeClr>
                        </a:solidFill>
                      </a:rPr>
                      <a:t> 1640 (6,3 %)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062569465685554"/>
                      <c:h val="7.505995203836929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9D4-4D69-9DB0-06F6F8CDF803}"/>
                </c:ext>
              </c:extLst>
            </c:dLbl>
            <c:dLbl>
              <c:idx val="5"/>
              <c:layout>
                <c:manualLayout>
                  <c:x val="0.13156504318600437"/>
                  <c:y val="-0.1226002924131127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10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Питання, які не віднесено до компетенції Міністерства</a:t>
                    </a:r>
                  </a:p>
                  <a:p>
                    <a:pPr>
                      <a:defRPr sz="1050">
                        <a:solidFill>
                          <a:schemeClr val="accent6">
                            <a:lumMod val="75000"/>
                          </a:schemeClr>
                        </a:solidFill>
                      </a:defRPr>
                    </a:pPr>
                    <a:r>
                      <a:rPr lang="uk-UA" sz="110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1216 (4,6 %)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6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74432564522165"/>
                      <c:h val="9.01576564674382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C9D4-4D69-9DB0-06F6F8CDF803}"/>
                </c:ext>
              </c:extLst>
            </c:dLbl>
            <c:dLbl>
              <c:idx val="6"/>
              <c:layout>
                <c:manualLayout>
                  <c:x val="0.21241672843084736"/>
                  <c:y val="-4.464377962905410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00" b="1" baseline="0"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Соціальний захист осіб, що знаходяться в складних життєвих обставинах, у тому числі під час надзвичайної ситуації у зв’язку з пандемією коронавірусу </a:t>
                    </a:r>
                    <a:r>
                      <a:rPr lang="en-US" sz="1000" b="1" baseline="0"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COVID-19</a:t>
                    </a:r>
                    <a:endParaRPr lang="en-US" sz="1000" baseline="0">
                      <a:effectLst/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1050">
                        <a:solidFill>
                          <a:srgbClr val="00B0F0"/>
                        </a:solidFill>
                      </a:defRPr>
                    </a:pPr>
                    <a:r>
                      <a:rPr lang="en-US" sz="1000" b="1" baseline="0"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1161 (4,4 %)</a:t>
                    </a:r>
                    <a:endParaRPr lang="en-US" sz="1000" baseline="0">
                      <a:effectLst/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 sz="1050">
                        <a:solidFill>
                          <a:srgbClr val="00B0F0"/>
                        </a:solidFill>
                      </a:defRPr>
                    </a:pPr>
                    <a:endParaRPr lang="en-US" sz="1050" baseline="0">
                      <a:solidFill>
                        <a:srgbClr val="00B0F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251171073326924"/>
                      <c:h val="0.158111690332337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C9D4-4D69-9DB0-06F6F8CDF803}"/>
                </c:ext>
              </c:extLst>
            </c:dLbl>
            <c:dLbl>
              <c:idx val="7"/>
              <c:layout>
                <c:manualLayout>
                  <c:x val="0.23840875901695885"/>
                  <c:y val="5.94974017509556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2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aseline="0">
                        <a:solidFill>
                          <a:schemeClr val="accent2">
                            <a:lumMod val="50000"/>
                          </a:schemeClr>
                        </a:solidFill>
                      </a:rPr>
                      <a:t>Усиновлення, захист прав дитини 947 (3,6 %)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C9D4-4D69-9DB0-06F6F8CDF803}"/>
                </c:ext>
              </c:extLst>
            </c:dLbl>
            <c:dLbl>
              <c:idx val="8"/>
              <c:layout>
                <c:manualLayout>
                  <c:x val="0.20989738584634049"/>
                  <c:y val="0.1132873223061882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="1" baseline="0">
                        <a:solidFill>
                          <a:schemeClr val="accent1">
                            <a:lumMod val="50000"/>
                          </a:schemeClr>
                        </a:solidFill>
                        <a:effectLst/>
                      </a:rPr>
                      <a:t>Соціальний захист постраждалих від Чорнобильської катастрофи</a:t>
                    </a:r>
                  </a:p>
                  <a:p>
                    <a:pPr>
                      <a:defRPr sz="105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defRPr>
                    </a:pPr>
                    <a:r>
                      <a:rPr lang="uk-UA" sz="1050" b="1" baseline="0">
                        <a:solidFill>
                          <a:schemeClr val="accent1">
                            <a:lumMod val="50000"/>
                          </a:schemeClr>
                        </a:solidFill>
                        <a:effectLst/>
                      </a:rPr>
                      <a:t> 706 (2,7 %)</a:t>
                    </a:r>
                    <a:endParaRPr lang="uk-UA" sz="1050" baseline="0">
                      <a:solidFill>
                        <a:schemeClr val="accent1">
                          <a:lumMod val="50000"/>
                        </a:schemeClr>
                      </a:solidFill>
                      <a:effectLst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61342961207202"/>
                      <c:h val="8.92226391164191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C9D4-4D69-9DB0-06F6F8CDF803}"/>
                </c:ext>
              </c:extLst>
            </c:dLbl>
            <c:dLbl>
              <c:idx val="9"/>
              <c:layout>
                <c:manualLayout>
                  <c:x val="0.43056810815703012"/>
                  <c:y val="0.196772322922721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958876B-A447-4B96-B3EF-637FCAD2066E}" type="CATEGORYNAME">
                      <a:rPr lang="uk-UA" sz="105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pPr>
                        <a:defRPr sz="1050">
                          <a:solidFill>
                            <a:schemeClr val="accent6">
                              <a:lumMod val="75000"/>
                            </a:schemeClr>
                          </a:solidFill>
                        </a:defRPr>
                      </a:pPr>
                      <a:t>[ІМ’Я КАТЕГОРІЇ]</a:t>
                    </a:fld>
                    <a:endParaRPr lang="uk-UA" sz="1050" baseline="0">
                      <a:solidFill>
                        <a:schemeClr val="accent6">
                          <a:lumMod val="75000"/>
                        </a:schemeClr>
                      </a:solidFill>
                    </a:endParaRPr>
                  </a:p>
                  <a:p>
                    <a:pPr>
                      <a:defRPr sz="1050">
                        <a:solidFill>
                          <a:schemeClr val="accent6">
                            <a:lumMod val="75000"/>
                          </a:schemeClr>
                        </a:solidFill>
                      </a:defRPr>
                    </a:pPr>
                    <a:r>
                      <a:rPr lang="uk-UA" sz="105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569 (2,2 %)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6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C9D4-4D69-9DB0-06F6F8CDF803}"/>
                </c:ext>
              </c:extLst>
            </c:dLbl>
            <c:dLbl>
              <c:idx val="10"/>
              <c:layout>
                <c:manualLayout>
                  <c:x val="0.52962317734514308"/>
                  <c:y val="0.2722480226884391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FFC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aseline="0">
                        <a:solidFill>
                          <a:srgbClr val="FFC000"/>
                        </a:solidFill>
                      </a:rPr>
                      <a:t>Житлове питання</a:t>
                    </a:r>
                  </a:p>
                  <a:p>
                    <a:pPr>
                      <a:defRPr sz="1050">
                        <a:solidFill>
                          <a:srgbClr val="FFC000"/>
                        </a:solidFill>
                      </a:defRPr>
                    </a:pPr>
                    <a:r>
                      <a:rPr lang="uk-UA" sz="1050" baseline="0">
                        <a:solidFill>
                          <a:srgbClr val="FFC000"/>
                        </a:solidFill>
                      </a:rPr>
                      <a:t> 471 (1,8 %)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FFC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C9D4-4D69-9DB0-06F6F8CDF803}"/>
                </c:ext>
              </c:extLst>
            </c:dLbl>
            <c:dLbl>
              <c:idx val="11"/>
              <c:layout>
                <c:manualLayout>
                  <c:x val="0.56384439829457467"/>
                  <c:y val="0.3444523595624371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C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="1" baseline="0">
                        <a:solidFill>
                          <a:srgbClr val="C00000"/>
                        </a:solidFill>
                        <a:effectLst/>
                      </a:rPr>
                      <a:t>Пропозиції щодо внесення змін до законодавства </a:t>
                    </a:r>
                    <a:endParaRPr lang="uk-UA" sz="1050" baseline="0">
                      <a:solidFill>
                        <a:srgbClr val="C00000"/>
                      </a:solidFill>
                      <a:effectLst/>
                    </a:endParaRPr>
                  </a:p>
                  <a:p>
                    <a:pPr>
                      <a:defRPr sz="1050">
                        <a:solidFill>
                          <a:srgbClr val="C00000"/>
                        </a:solidFill>
                      </a:defRPr>
                    </a:pPr>
                    <a:r>
                      <a:rPr lang="uk-UA" sz="1050" b="1" baseline="0">
                        <a:solidFill>
                          <a:srgbClr val="C00000"/>
                        </a:solidFill>
                        <a:effectLst/>
                      </a:rPr>
                      <a:t>452 (1,7 %)</a:t>
                    </a:r>
                    <a:endParaRPr lang="uk-UA" sz="1050" baseline="0">
                      <a:solidFill>
                        <a:srgbClr val="C00000"/>
                      </a:solidFill>
                      <a:effectLst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C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C9D4-4D69-9DB0-06F6F8CDF803}"/>
                </c:ext>
              </c:extLst>
            </c:dLbl>
            <c:dLbl>
              <c:idx val="12"/>
              <c:layout>
                <c:manualLayout>
                  <c:x val="0.44743710571497436"/>
                  <c:y val="0.4357056040096915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="1" baseline="0">
                        <a:effectLst/>
                      </a:rPr>
                      <a:t>Запобігання та протидія домашньому насильству</a:t>
                    </a:r>
                    <a:endParaRPr lang="uk-UA" sz="1050" baseline="0">
                      <a:effectLst/>
                    </a:endParaRPr>
                  </a:p>
                  <a:p>
                    <a:pPr>
                      <a:defRPr sz="1050">
                        <a:solidFill>
                          <a:schemeClr val="accent1"/>
                        </a:solidFill>
                      </a:defRPr>
                    </a:pPr>
                    <a:r>
                      <a:rPr lang="uk-UA" sz="1050" b="1" baseline="0">
                        <a:effectLst/>
                      </a:rPr>
                      <a:t>439 (1 ,7 %)</a:t>
                    </a:r>
                    <a:endParaRPr lang="uk-UA" sz="1050" baseline="0">
                      <a:effectLst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885656767275015"/>
                      <c:h val="8.941988207152776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C9D4-4D69-9DB0-06F6F8CDF803}"/>
                </c:ext>
              </c:extLst>
            </c:dLbl>
            <c:dLbl>
              <c:idx val="13"/>
              <c:layout>
                <c:manualLayout>
                  <c:x val="0.29495818381509392"/>
                  <c:y val="0.437964170586059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="1" baseline="0">
                        <a:solidFill>
                          <a:schemeClr val="accent6">
                            <a:lumMod val="75000"/>
                          </a:schemeClr>
                        </a:solidFill>
                        <a:effectLst/>
                      </a:rPr>
                      <a:t>Діяльність закладів підтримки та догляду</a:t>
                    </a:r>
                    <a:endParaRPr lang="uk-UA" sz="1050" baseline="0">
                      <a:solidFill>
                        <a:schemeClr val="accent6">
                          <a:lumMod val="75000"/>
                        </a:schemeClr>
                      </a:solidFill>
                      <a:effectLst/>
                    </a:endParaRPr>
                  </a:p>
                  <a:p>
                    <a:pPr>
                      <a:defRPr sz="1050">
                        <a:solidFill>
                          <a:schemeClr val="accent6">
                            <a:lumMod val="75000"/>
                          </a:schemeClr>
                        </a:solidFill>
                      </a:defRPr>
                    </a:pPr>
                    <a:r>
                      <a:rPr lang="uk-UA" sz="1050" b="1" baseline="0">
                        <a:solidFill>
                          <a:schemeClr val="accent6">
                            <a:lumMod val="75000"/>
                          </a:schemeClr>
                        </a:solidFill>
                        <a:effectLst/>
                      </a:rPr>
                      <a:t>397 (1,5 %)</a:t>
                    </a:r>
                    <a:endParaRPr lang="uk-UA" sz="1050" baseline="0">
                      <a:solidFill>
                        <a:schemeClr val="accent6">
                          <a:lumMod val="75000"/>
                        </a:schemeClr>
                      </a:solidFill>
                      <a:effectLst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6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275617330956462"/>
                      <c:h val="9.0007993605115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B-C9D4-4D69-9DB0-06F6F8CDF803}"/>
                </c:ext>
              </c:extLst>
            </c:dLbl>
            <c:dLbl>
              <c:idx val="14"/>
              <c:layout>
                <c:manualLayout>
                  <c:x val="0.17537142899076105"/>
                  <c:y val="0.4541850657929503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2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="1" baseline="0">
                        <a:effectLst/>
                      </a:rPr>
                      <a:t>Надання</a:t>
                    </a:r>
                    <a:endParaRPr lang="uk-UA" sz="1050" baseline="0">
                      <a:effectLst/>
                    </a:endParaRPr>
                  </a:p>
                  <a:p>
                    <a:pPr>
                      <a:defRPr sz="1050">
                        <a:solidFill>
                          <a:schemeClr val="accent2">
                            <a:lumMod val="75000"/>
                          </a:schemeClr>
                        </a:solidFill>
                      </a:defRPr>
                    </a:pPr>
                    <a:r>
                      <a:rPr lang="uk-UA" sz="1050" b="1" baseline="0">
                        <a:effectLst/>
                      </a:rPr>
                      <a:t>матеріальної допомоги</a:t>
                    </a:r>
                    <a:endParaRPr lang="uk-UA" sz="1050" baseline="0">
                      <a:effectLst/>
                    </a:endParaRPr>
                  </a:p>
                  <a:p>
                    <a:pPr>
                      <a:defRPr sz="1050">
                        <a:solidFill>
                          <a:schemeClr val="accent2">
                            <a:lumMod val="75000"/>
                          </a:schemeClr>
                        </a:solidFill>
                      </a:defRPr>
                    </a:pPr>
                    <a:r>
                      <a:rPr lang="uk-UA" sz="1050" b="1" baseline="0">
                        <a:effectLst/>
                      </a:rPr>
                      <a:t>373 (1,4 %)</a:t>
                    </a:r>
                    <a:endParaRPr lang="uk-UA" sz="1050" baseline="0">
                      <a:effectLst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328287016313084"/>
                      <c:h val="7.88169599605418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D-C9D4-4D69-9DB0-06F6F8CDF803}"/>
                </c:ext>
              </c:extLst>
            </c:dLbl>
            <c:dLbl>
              <c:idx val="15"/>
              <c:layout>
                <c:manualLayout>
                  <c:x val="5.0052322210888595E-2"/>
                  <c:y val="0.4596339551515792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8CAD017-7827-4E82-AA2E-ED1DF188238A}" type="CATEGORYNAME">
                      <a:rPr lang="uk-UA" sz="1050" baseline="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 sz="1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defRPr>
                      </a:pPr>
                      <a:t>[ІМ’Я КАТЕГОРІЇ]</a:t>
                    </a:fld>
                    <a:endParaRPr lang="uk-UA" sz="1050" baseline="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endParaRPr>
                  </a:p>
                  <a:p>
                    <a:pPr>
                      <a:defRPr sz="105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defRPr>
                    </a:pPr>
                    <a:r>
                      <a:rPr lang="uk-UA" sz="1050" baseline="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a:rPr>
                      <a:t>344 (1,3 %)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187814477523954"/>
                      <c:h val="9.690500096883862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C9D4-4D69-9DB0-06F6F8CDF803}"/>
                </c:ext>
              </c:extLst>
            </c:dLbl>
            <c:dLbl>
              <c:idx val="16"/>
              <c:layout>
                <c:manualLayout>
                  <c:x val="-0.12709576261028882"/>
                  <c:y val="0.4633352710105866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1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Санаторно-курортне лікування,</a:t>
                    </a:r>
                  </a:p>
                  <a:p>
                    <a:pPr>
                      <a:defRPr sz="1050">
                        <a:solidFill>
                          <a:schemeClr val="accent1">
                            <a:lumMod val="75000"/>
                          </a:schemeClr>
                        </a:solidFill>
                      </a:defRPr>
                    </a:pPr>
                    <a:r>
                      <a:rPr lang="uk-UA" sz="1050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оздоровлення дітей</a:t>
                    </a:r>
                  </a:p>
                  <a:p>
                    <a:pPr>
                      <a:defRPr sz="1050">
                        <a:solidFill>
                          <a:schemeClr val="accent1">
                            <a:lumMod val="75000"/>
                          </a:schemeClr>
                        </a:solidFill>
                      </a:defRPr>
                    </a:pPr>
                    <a:r>
                      <a:rPr lang="uk-UA" sz="1050" baseline="0">
                        <a:solidFill>
                          <a:schemeClr val="accent1">
                            <a:lumMod val="75000"/>
                          </a:schemeClr>
                        </a:solidFill>
                      </a:rPr>
                      <a:t>331 (1,3 %)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1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357787056673834"/>
                      <c:h val="7.677781888002255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C9D4-4D69-9DB0-06F6F8CDF803}"/>
                </c:ext>
              </c:extLst>
            </c:dLbl>
            <c:dLbl>
              <c:idx val="17"/>
              <c:layout>
                <c:manualLayout>
                  <c:x val="-8.5963949287326966E-2"/>
                  <c:y val="0.3438967746481354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00" b="1" baseline="0">
                        <a:effectLst/>
                      </a:rPr>
                      <a:t>Встановлення статусу особи з інвалідністю внаслідок війни,  ветерана праці, члена сім’ї загиблого (померлого) ветерана війни </a:t>
                    </a:r>
                    <a:endParaRPr lang="uk-UA" sz="1000" baseline="0">
                      <a:effectLst/>
                    </a:endParaRPr>
                  </a:p>
                  <a:p>
                    <a:pPr>
                      <a:defRPr sz="1050">
                        <a:solidFill>
                          <a:schemeClr val="accent6"/>
                        </a:solidFill>
                      </a:defRPr>
                    </a:pPr>
                    <a:r>
                      <a:rPr lang="uk-UA" sz="1000" b="1" baseline="0">
                        <a:effectLst/>
                      </a:rPr>
                      <a:t>289 (1,1 %)</a:t>
                    </a:r>
                    <a:endParaRPr lang="uk-UA" sz="1000" baseline="0">
                      <a:effectLst/>
                    </a:endParaRPr>
                  </a:p>
                  <a:p>
                    <a:pPr>
                      <a:defRPr sz="1050">
                        <a:solidFill>
                          <a:schemeClr val="accent6"/>
                        </a:solidFill>
                      </a:defRPr>
                    </a:pPr>
                    <a:r>
                      <a:rPr lang="uk-UA" sz="1000" baseline="0">
                        <a:effectLst/>
                      </a:rPr>
                      <a:t> 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6993652354499487"/>
                      <c:h val="0.1332617449664429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3-C9D4-4D69-9DB0-06F6F8CDF803}"/>
                </c:ext>
              </c:extLst>
            </c:dLbl>
            <c:dLbl>
              <c:idx val="18"/>
              <c:layout>
                <c:manualLayout>
                  <c:x val="-6.2841445844432534E-2"/>
                  <c:y val="0.2277372509644348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7030A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="1" baseline="0">
                        <a:effectLst/>
                      </a:rPr>
                      <a:t>Соціальний захист потерпілих на виробництві, оплата листків непрацездатності</a:t>
                    </a:r>
                    <a:endParaRPr lang="uk-UA" sz="1050" baseline="0">
                      <a:effectLst/>
                    </a:endParaRPr>
                  </a:p>
                  <a:p>
                    <a:pPr>
                      <a:defRPr sz="1050">
                        <a:solidFill>
                          <a:srgbClr val="7030A0"/>
                        </a:solidFill>
                      </a:defRPr>
                    </a:pPr>
                    <a:r>
                      <a:rPr lang="uk-UA" sz="1050" b="1" baseline="0">
                        <a:effectLst/>
                      </a:rPr>
                      <a:t>261 (1,0 %)</a:t>
                    </a:r>
                    <a:endParaRPr lang="uk-UA" sz="1050" baseline="0">
                      <a:effectLst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7030A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792244865011629"/>
                      <c:h val="8.22188166076555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5-C9D4-4D69-9DB0-06F6F8CDF803}"/>
                </c:ext>
              </c:extLst>
            </c:dLbl>
            <c:dLbl>
              <c:idx val="19"/>
              <c:layout>
                <c:manualLayout>
                  <c:x val="-9.9350118513843719E-2"/>
                  <c:y val="0.1355684843992094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050" b="1" i="0" u="none" strike="noStrike" kern="1200" spc="0" baseline="0">
                        <a:solidFill>
                          <a:schemeClr val="accent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aseline="0">
                        <a:solidFill>
                          <a:schemeClr val="accent2"/>
                        </a:solidFill>
                      </a:rPr>
                      <a:t>Індексація доходів, прожитковий мінімум</a:t>
                    </a:r>
                  </a:p>
                  <a:p>
                    <a:pPr algn="ctr">
                      <a:defRPr sz="1050">
                        <a:solidFill>
                          <a:schemeClr val="accent2"/>
                        </a:solidFill>
                      </a:defRPr>
                    </a:pPr>
                    <a:r>
                      <a:rPr lang="uk-UA" sz="1050" baseline="0">
                        <a:solidFill>
                          <a:schemeClr val="accent2"/>
                        </a:solidFill>
                      </a:rPr>
                      <a:t>242 (0,9 %)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05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254906277442253"/>
                      <c:h val="8.1277291862062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7-C9D4-4D69-9DB0-06F6F8CDF803}"/>
                </c:ext>
              </c:extLst>
            </c:dLbl>
            <c:dLbl>
              <c:idx val="20"/>
              <c:layout>
                <c:manualLayout>
                  <c:x val="-5.2061162438572159E-2"/>
                  <c:y val="7.03830611777554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FF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="1" baseline="0">
                        <a:effectLst/>
                      </a:rPr>
                      <a:t>Оплата та умови праці, </a:t>
                    </a:r>
                  </a:p>
                  <a:p>
                    <a:pPr>
                      <a:defRPr sz="1050">
                        <a:solidFill>
                          <a:srgbClr val="FF0000"/>
                        </a:solidFill>
                      </a:defRPr>
                    </a:pPr>
                    <a:r>
                      <a:rPr lang="uk-UA" sz="1050" b="1" baseline="0">
                        <a:effectLst/>
                      </a:rPr>
                      <a:t>ринок праці та зайнятості</a:t>
                    </a:r>
                    <a:endParaRPr lang="uk-UA" sz="1050" baseline="0">
                      <a:effectLst/>
                    </a:endParaRPr>
                  </a:p>
                  <a:p>
                    <a:pPr>
                      <a:defRPr sz="1050">
                        <a:solidFill>
                          <a:srgbClr val="FF0000"/>
                        </a:solidFill>
                      </a:defRPr>
                    </a:pPr>
                    <a:r>
                      <a:rPr lang="uk-UA" sz="1050" b="1" baseline="0">
                        <a:effectLst/>
                      </a:rPr>
                      <a:t>200 (0,8 %)</a:t>
                    </a:r>
                    <a:endParaRPr lang="uk-UA" sz="1050" baseline="0">
                      <a:effectLst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8880363393532005"/>
                      <c:h val="9.42102908277404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9-C9D4-4D69-9DB0-06F6F8CDF803}"/>
                </c:ext>
              </c:extLst>
            </c:dLbl>
            <c:dLbl>
              <c:idx val="21"/>
              <c:layout>
                <c:manualLayout>
                  <c:x val="-6.25833327218068E-2"/>
                  <c:y val="1.0691328013528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0070C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34E94E7-627D-41B8-9D19-2706304DD90A}" type="CATEGORYNAME">
                      <a:rPr lang="uk-UA" sz="1050" baseline="0">
                        <a:solidFill>
                          <a:srgbClr val="0070C0"/>
                        </a:solidFill>
                      </a:rPr>
                      <a:pPr>
                        <a:defRPr sz="1050">
                          <a:solidFill>
                            <a:srgbClr val="0070C0"/>
                          </a:solidFill>
                        </a:defRPr>
                      </a:pPr>
                      <a:t>[ІМ’Я КАТЕГОРІЇ]</a:t>
                    </a:fld>
                    <a:r>
                      <a:rPr lang="uk-UA" sz="1050" baseline="0">
                        <a:solidFill>
                          <a:srgbClr val="0070C0"/>
                        </a:solidFill>
                      </a:rPr>
                      <a:t> </a:t>
                    </a:r>
                  </a:p>
                  <a:p>
                    <a:pPr>
                      <a:defRPr sz="1050">
                        <a:solidFill>
                          <a:srgbClr val="0070C0"/>
                        </a:solidFill>
                      </a:defRPr>
                    </a:pPr>
                    <a:r>
                      <a:rPr lang="uk-UA" sz="1050" baseline="0">
                        <a:solidFill>
                          <a:srgbClr val="0070C0"/>
                        </a:solidFill>
                      </a:rPr>
                      <a:t>54 (0,2 %)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0070C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7665049790491009"/>
                      <c:h val="6.058729236026704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C9D4-4D69-9DB0-06F6F8CDF803}"/>
                </c:ext>
              </c:extLst>
            </c:dLbl>
            <c:dLbl>
              <c:idx val="22"/>
              <c:layout>
                <c:manualLayout>
                  <c:x val="-0.12353956454418034"/>
                  <c:y val="-5.96042206133629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rgbClr val="FFC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829EE13-803D-4CE6-9856-B14EB3AC04DC}" type="CATEGORYNAME">
                      <a:rPr lang="uk-UA" sz="1050" baseline="0">
                        <a:solidFill>
                          <a:srgbClr val="FFC000"/>
                        </a:solidFill>
                      </a:rPr>
                      <a:pPr>
                        <a:defRPr sz="1050">
                          <a:solidFill>
                            <a:srgbClr val="FFC000"/>
                          </a:solidFill>
                        </a:defRPr>
                      </a:pPr>
                      <a:t>[ІМ’Я КАТЕГОРІЇ]</a:t>
                    </a:fld>
                    <a:endParaRPr lang="uk-UA" sz="1050" baseline="0">
                      <a:solidFill>
                        <a:srgbClr val="FFC000"/>
                      </a:solidFill>
                    </a:endParaRPr>
                  </a:p>
                  <a:p>
                    <a:pPr>
                      <a:defRPr sz="1050">
                        <a:solidFill>
                          <a:srgbClr val="FFC000"/>
                        </a:solidFill>
                      </a:defRPr>
                    </a:pPr>
                    <a:r>
                      <a:rPr lang="uk-UA" sz="1050" baseline="0">
                        <a:solidFill>
                          <a:srgbClr val="FFC000"/>
                        </a:solidFill>
                      </a:rPr>
                      <a:t>48 (0,2 %)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rgbClr val="FFC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1543385362011477"/>
                      <c:h val="7.98926174496644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D-C9D4-4D69-9DB0-06F6F8CDF803}"/>
                </c:ext>
              </c:extLst>
            </c:dLbl>
            <c:dLbl>
              <c:idx val="23"/>
              <c:layout>
                <c:manualLayout>
                  <c:x val="-0.15347868096171111"/>
                  <c:y val="-0.1056125702408004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accent6">
                            <a:lumMod val="7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87109C8-3275-4D34-91A5-042A4740431E}" type="CATEGORYNAME">
                      <a:rPr lang="uk-UA" sz="105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pPr>
                        <a:defRPr sz="1050">
                          <a:solidFill>
                            <a:schemeClr val="accent6">
                              <a:lumMod val="75000"/>
                            </a:schemeClr>
                          </a:solidFill>
                        </a:defRPr>
                      </a:pPr>
                      <a:t>[ІМ’Я КАТЕГОРІЇ]</a:t>
                    </a:fld>
                    <a:endParaRPr lang="uk-UA" sz="1050" baseline="0">
                      <a:solidFill>
                        <a:schemeClr val="accent6">
                          <a:lumMod val="75000"/>
                        </a:schemeClr>
                      </a:solidFill>
                    </a:endParaRPr>
                  </a:p>
                  <a:p>
                    <a:pPr>
                      <a:defRPr sz="1050">
                        <a:solidFill>
                          <a:schemeClr val="accent6">
                            <a:lumMod val="75000"/>
                          </a:schemeClr>
                        </a:solidFill>
                      </a:defRPr>
                    </a:pPr>
                    <a:r>
                      <a:rPr lang="uk-UA" sz="1050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40 (0,2 %)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accent6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F-C9D4-4D69-9DB0-06F6F8CDF803}"/>
                </c:ext>
              </c:extLst>
            </c:dLbl>
            <c:dLbl>
              <c:idx val="24"/>
              <c:layout>
                <c:manualLayout>
                  <c:x val="-0.17670768786706881"/>
                  <c:y val="-0.1636603075622258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50" b="1" i="0" u="none" strike="noStrike" kern="1200" spc="0" baseline="0">
                        <a:solidFill>
                          <a:srgbClr val="ED7D31">
                            <a:lumMod val="75000"/>
                          </a:srgb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50" b="1" i="0" u="none" strike="noStrike" kern="1200" spc="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Питання </a:t>
                    </a:r>
                    <a:r>
                      <a:rPr lang="uk-UA" sz="1050" b="0" i="0" u="none" strike="noStrike" kern="1200" spc="0" baseline="0">
                        <a:solidFill>
                          <a:srgbClr val="ED7D31">
                            <a:lumMod val="75000"/>
                          </a:srgbClr>
                        </a:solidFill>
                        <a:effectLst/>
                      </a:rPr>
                      <a:t> </a:t>
                    </a:r>
                    <a:r>
                      <a:rPr lang="uk-UA" sz="1050" b="1" i="0" u="none" strike="noStrike" kern="1200" spc="0" baseline="0">
                        <a:solidFill>
                          <a:srgbClr val="ED7D31">
                            <a:lumMod val="75000"/>
                          </a:srgbClr>
                        </a:solidFill>
                        <a:effectLst/>
                      </a:rPr>
                      <a:t>ґендерної рівності</a:t>
                    </a:r>
                    <a:endParaRPr lang="uk-UA" sz="1050" b="1" i="0" u="none" strike="noStrike" kern="1200" spc="0" baseline="0">
                      <a:solidFill>
                        <a:schemeClr val="accent2">
                          <a:lumMod val="75000"/>
                        </a:schemeClr>
                      </a:solidFill>
                    </a:endParaRPr>
                  </a:p>
                  <a:p>
                    <a:pPr marL="0" marR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50">
                        <a:solidFill>
                          <a:srgbClr val="ED7D31">
                            <a:lumMod val="75000"/>
                          </a:srgbClr>
                        </a:solidFill>
                      </a:defRPr>
                    </a:pPr>
                    <a:r>
                      <a:rPr lang="uk-UA" sz="1050" b="1" i="0" u="none" strike="noStrike" kern="1200" spc="0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33 (0,1 %)</a:t>
                    </a:r>
                    <a:endParaRPr lang="uk-UA" sz="1050" baseline="0">
                      <a:solidFill>
                        <a:schemeClr val="accent2">
                          <a:lumMod val="7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marL="0" marR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050" b="1" i="0" u="none" strike="noStrike" kern="1200" spc="0" baseline="0">
                      <a:solidFill>
                        <a:srgbClr val="ED7D31">
                          <a:lumMod val="75000"/>
                        </a:srgb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31-C9D4-4D69-9DB0-06F6F8CDF803}"/>
                </c:ext>
              </c:extLst>
            </c:dLbl>
            <c:dLbl>
              <c:idx val="25"/>
              <c:layout>
                <c:manualLayout>
                  <c:x val="-2.5606979683095166E-2"/>
                  <c:y val="-0.1382334020327996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50" b="1" i="0" u="none" strike="noStrike" kern="1200" spc="0" baseline="0">
                        <a:solidFill>
                          <a:schemeClr val="bg1">
                            <a:lumMod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4B5B8D0-1F7D-4FFB-AB90-3E735BDCAC8E}" type="CATEGORYNAME">
                      <a:rPr lang="uk-UA" sz="1050" baseline="0">
                        <a:solidFill>
                          <a:schemeClr val="bg1">
                            <a:lumMod val="50000"/>
                          </a:schemeClr>
                        </a:solidFill>
                      </a:rPr>
                      <a:pPr>
                        <a:defRPr sz="1050">
                          <a:solidFill>
                            <a:schemeClr val="bg1">
                              <a:lumMod val="50000"/>
                            </a:schemeClr>
                          </a:solidFill>
                        </a:defRPr>
                      </a:pPr>
                      <a:t>[ІМ’Я КАТЕГОРІЇ]</a:t>
                    </a:fld>
                    <a:r>
                      <a:rPr lang="uk-UA" sz="1050" baseline="0">
                        <a:solidFill>
                          <a:schemeClr val="bg1">
                            <a:lumMod val="50000"/>
                          </a:schemeClr>
                        </a:solidFill>
                      </a:rPr>
                      <a:t> </a:t>
                    </a:r>
                  </a:p>
                  <a:p>
                    <a:pPr>
                      <a:defRPr sz="1050">
                        <a:solidFill>
                          <a:schemeClr val="bg1">
                            <a:lumMod val="50000"/>
                          </a:schemeClr>
                        </a:solidFill>
                      </a:defRPr>
                    </a:pPr>
                    <a:r>
                      <a:rPr lang="uk-UA" sz="1050" baseline="0">
                        <a:solidFill>
                          <a:schemeClr val="bg1">
                            <a:lumMod val="50000"/>
                          </a:schemeClr>
                        </a:solidFill>
                      </a:rPr>
                      <a:t>374 (1,4 %)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spc="0" baseline="0">
                      <a:solidFill>
                        <a:schemeClr val="bg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7.5617283950617287E-2"/>
                      <c:h val="7.452348993288590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33-C9D4-4D69-9DB0-06F6F8CDF8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spc="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Аркуш1!$B$3:$B$28</c:f>
              <c:strCache>
                <c:ptCount val="26"/>
                <c:pt idx="0">
                  <c:v>Пенсійне забезпечення</c:v>
                </c:pt>
                <c:pt idx="1">
                  <c:v>Пільги та компенсації</c:v>
                </c:pt>
                <c:pt idx="2">
                  <c:v>Субсидії</c:v>
                </c:pt>
                <c:pt idx="3">
                  <c:v>Соціальний захист сімей з дітьми</c:v>
                </c:pt>
                <c:pt idx="4">
                  <c:v>Соціальний захист осіб з інвалідністю</c:v>
                </c:pt>
                <c:pt idx="5">
                  <c:v>Соціальний захист осіб, що знаходяться в складних життєвих обставинах</c:v>
                </c:pt>
                <c:pt idx="6">
                  <c:v>Питання, які не віднесено до компетенції Міністерства</c:v>
                </c:pt>
                <c:pt idx="7">
                  <c:v>Захист прав дитини, усиновлення</c:v>
                </c:pt>
                <c:pt idx="8">
                  <c:v>Запобігання, протидія домашньому насильству</c:v>
                </c:pt>
                <c:pt idx="9">
                  <c:v>Скарги на дії посадових осіб</c:v>
                </c:pt>
                <c:pt idx="10">
                  <c:v>Соціальний захист постраждалих від Чорнобильської катастрофи</c:v>
                </c:pt>
                <c:pt idx="11">
                  <c:v>Житлові питання</c:v>
                </c:pt>
                <c:pt idx="12">
                  <c:v>Пропозиції щодо внесення змін до законодавства</c:v>
                </c:pt>
                <c:pt idx="13">
                  <c:v>Надання матеріальної допомоги</c:v>
                </c:pt>
                <c:pt idx="14">
                  <c:v>Діяльність закладів підтримки та догляду</c:v>
                </c:pt>
                <c:pt idx="15">
                  <c:v>Соціальний захист внутрішньо переміщених осіб</c:v>
                </c:pt>
                <c:pt idx="16">
                  <c:v>Встановлення статусу особи з інвалідністю внаслідок війни,  ветерана праці, члена сім’ї загиблого (померлого) ветерана війни</c:v>
                </c:pt>
                <c:pt idx="17">
                  <c:v>Санаторно-курортне лікування, оздоровлення дітей</c:v>
                </c:pt>
                <c:pt idx="18">
                  <c:v>Оплата та умови праці, питання зайнятості</c:v>
                </c:pt>
                <c:pt idx="19">
                  <c:v>Індексація доходів, прожитковий мінімум</c:v>
                </c:pt>
                <c:pt idx="20">
                  <c:v>Соціальне страхування</c:v>
                </c:pt>
                <c:pt idx="21">
                  <c:v>Оформлення вантажів гуманітарної допомоги</c:v>
                </c:pt>
                <c:pt idx="22">
                  <c:v>Трудове законодавство</c:v>
                </c:pt>
                <c:pt idx="23">
                  <c:v>Організація прийому громадян</c:v>
                </c:pt>
                <c:pt idx="24">
                  <c:v>Питання гендерної рівності</c:v>
                </c:pt>
                <c:pt idx="25">
                  <c:v>Інші</c:v>
                </c:pt>
              </c:strCache>
            </c:strRef>
          </c:cat>
          <c:val>
            <c:numRef>
              <c:f>Аркуш1!$D$3:$D$28</c:f>
              <c:numCache>
                <c:formatCode>0.0%</c:formatCode>
                <c:ptCount val="26"/>
                <c:pt idx="0">
                  <c:v>0.26549593947386685</c:v>
                </c:pt>
                <c:pt idx="1">
                  <c:v>0.12750746165058652</c:v>
                </c:pt>
                <c:pt idx="2">
                  <c:v>0.12063580204067467</c:v>
                </c:pt>
                <c:pt idx="3">
                  <c:v>7.2881238286943845E-2</c:v>
                </c:pt>
                <c:pt idx="4">
                  <c:v>5.7194419379468314E-2</c:v>
                </c:pt>
                <c:pt idx="5">
                  <c:v>5.0114527660165199E-2</c:v>
                </c:pt>
                <c:pt idx="6">
                  <c:v>4.1785243284514474E-2</c:v>
                </c:pt>
                <c:pt idx="7">
                  <c:v>3.9078225862427984E-2</c:v>
                </c:pt>
                <c:pt idx="8">
                  <c:v>2.4779621017560909E-2</c:v>
                </c:pt>
                <c:pt idx="9">
                  <c:v>2.457138890816964E-2</c:v>
                </c:pt>
                <c:pt idx="10">
                  <c:v>2.436315679877837E-2</c:v>
                </c:pt>
                <c:pt idx="11">
                  <c:v>1.8532657735822865E-2</c:v>
                </c:pt>
                <c:pt idx="12">
                  <c:v>1.7838550704518636E-2</c:v>
                </c:pt>
                <c:pt idx="13">
                  <c:v>1.4506836954258346E-2</c:v>
                </c:pt>
                <c:pt idx="14">
                  <c:v>1.4298604844867079E-2</c:v>
                </c:pt>
                <c:pt idx="15">
                  <c:v>1.4229194141736656E-2</c:v>
                </c:pt>
                <c:pt idx="16">
                  <c:v>1.1313944610258902E-2</c:v>
                </c:pt>
                <c:pt idx="17">
                  <c:v>1.0411605469563406E-2</c:v>
                </c:pt>
                <c:pt idx="18">
                  <c:v>9.9257305476504482E-3</c:v>
                </c:pt>
                <c:pt idx="19">
                  <c:v>8.8845700006941076E-3</c:v>
                </c:pt>
                <c:pt idx="20">
                  <c:v>8.6069271881724155E-3</c:v>
                </c:pt>
                <c:pt idx="21">
                  <c:v>2.6376067189560629E-3</c:v>
                </c:pt>
                <c:pt idx="22">
                  <c:v>2.5681960158256403E-3</c:v>
                </c:pt>
                <c:pt idx="23">
                  <c:v>2.2211425001735269E-3</c:v>
                </c:pt>
                <c:pt idx="24">
                  <c:v>1.4576247657388768E-3</c:v>
                </c:pt>
                <c:pt idx="25">
                  <c:v>1.4159783438606233E-2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C9D4-4D69-9DB0-06F6F8CDF803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36</cp:revision>
  <cp:lastPrinted>2021-01-13T11:52:00Z</cp:lastPrinted>
  <dcterms:created xsi:type="dcterms:W3CDTF">2020-07-02T10:36:00Z</dcterms:created>
  <dcterms:modified xsi:type="dcterms:W3CDTF">2021-01-13T14:11:00Z</dcterms:modified>
</cp:coreProperties>
</file>