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52" w:rsidRPr="00F731E9" w:rsidRDefault="00705952" w:rsidP="00705952">
      <w:pPr>
        <w:jc w:val="center"/>
        <w:rPr>
          <w:b/>
          <w:sz w:val="28"/>
          <w:szCs w:val="28"/>
        </w:rPr>
      </w:pPr>
      <w:r w:rsidRPr="00F731E9">
        <w:rPr>
          <w:b/>
          <w:sz w:val="28"/>
          <w:szCs w:val="28"/>
        </w:rPr>
        <w:t>ПОРІВНЯ</w:t>
      </w:r>
      <w:bookmarkStart w:id="0" w:name="_GoBack"/>
      <w:bookmarkEnd w:id="0"/>
      <w:r w:rsidRPr="00F731E9">
        <w:rPr>
          <w:b/>
          <w:sz w:val="28"/>
          <w:szCs w:val="28"/>
        </w:rPr>
        <w:t>ЛЬНА ТАБЛИЦЯ</w:t>
      </w:r>
    </w:p>
    <w:p w:rsidR="00705952" w:rsidRPr="00F731E9" w:rsidRDefault="00705952" w:rsidP="00705952">
      <w:pPr>
        <w:jc w:val="center"/>
        <w:rPr>
          <w:b/>
          <w:sz w:val="28"/>
          <w:szCs w:val="28"/>
        </w:rPr>
      </w:pPr>
      <w:r w:rsidRPr="00F731E9">
        <w:rPr>
          <w:b/>
          <w:sz w:val="28"/>
          <w:szCs w:val="28"/>
        </w:rPr>
        <w:t>до проекту постанови Кабінету Міністрів України „Про реалізацію експериментального проекту із закупівлі соціальної послуги з комплексного розвитку та догляду з інвалідністю”</w:t>
      </w:r>
    </w:p>
    <w:p w:rsidR="00705952" w:rsidRPr="00F731E9" w:rsidRDefault="00705952" w:rsidP="00705952">
      <w:pPr>
        <w:jc w:val="center"/>
        <w:rPr>
          <w:b/>
          <w:sz w:val="20"/>
          <w:szCs w:val="20"/>
        </w:rPr>
      </w:pPr>
    </w:p>
    <w:p w:rsidR="00705952" w:rsidRPr="00F731E9" w:rsidRDefault="00705952" w:rsidP="00705952">
      <w:pPr>
        <w:jc w:val="center"/>
        <w:rPr>
          <w:b/>
          <w:sz w:val="20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4"/>
        <w:gridCol w:w="7938"/>
      </w:tblGrid>
      <w:tr w:rsidR="00705952" w:rsidRPr="00F731E9" w:rsidTr="00482FFB">
        <w:tc>
          <w:tcPr>
            <w:tcW w:w="7054" w:type="dxa"/>
          </w:tcPr>
          <w:p w:rsidR="00705952" w:rsidRPr="00F731E9" w:rsidRDefault="00705952" w:rsidP="00482FFB">
            <w:pPr>
              <w:jc w:val="center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Зміст положення акта законодавства</w:t>
            </w:r>
          </w:p>
          <w:p w:rsidR="00705952" w:rsidRPr="00F731E9" w:rsidRDefault="00705952" w:rsidP="0048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05952" w:rsidRPr="00F731E9" w:rsidRDefault="00705952" w:rsidP="00482FFB">
            <w:pPr>
              <w:jc w:val="center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Зміст відповідного положення проекту акта</w:t>
            </w:r>
          </w:p>
        </w:tc>
      </w:tr>
      <w:tr w:rsidR="00705952" w:rsidRPr="00F731E9" w:rsidTr="00482FFB">
        <w:tc>
          <w:tcPr>
            <w:tcW w:w="14992" w:type="dxa"/>
            <w:gridSpan w:val="2"/>
          </w:tcPr>
          <w:p w:rsidR="00705952" w:rsidRPr="00F731E9" w:rsidRDefault="00705952" w:rsidP="00482FFB">
            <w:pPr>
              <w:jc w:val="center"/>
              <w:rPr>
                <w:b/>
                <w:sz w:val="28"/>
                <w:szCs w:val="28"/>
              </w:rPr>
            </w:pPr>
            <w:hyperlink r:id="rId4" w:anchor="n10" w:tgtFrame="_blank" w:history="1">
              <w:r w:rsidRPr="00F731E9">
                <w:rPr>
                  <w:rStyle w:val="a3"/>
                  <w:b/>
                  <w:sz w:val="28"/>
                  <w:szCs w:val="28"/>
                </w:rPr>
                <w:t>Порядок використання коштів державного бюджету на розвиток системи соціальних послуг</w:t>
              </w:r>
            </w:hyperlink>
            <w:r w:rsidRPr="00F731E9">
              <w:rPr>
                <w:b/>
                <w:sz w:val="28"/>
                <w:szCs w:val="28"/>
              </w:rPr>
              <w:t xml:space="preserve">, </w:t>
            </w:r>
          </w:p>
          <w:p w:rsidR="00705952" w:rsidRPr="00F731E9" w:rsidRDefault="00705952" w:rsidP="00482FFB">
            <w:pPr>
              <w:jc w:val="center"/>
              <w:rPr>
                <w:b/>
                <w:sz w:val="28"/>
                <w:szCs w:val="28"/>
              </w:rPr>
            </w:pPr>
            <w:r w:rsidRPr="00F731E9">
              <w:rPr>
                <w:b/>
                <w:sz w:val="28"/>
                <w:szCs w:val="28"/>
              </w:rPr>
              <w:t>затверджений постановою Кабінету Міністрів України від 22 грудня 2023 р. № 1352</w:t>
            </w:r>
          </w:p>
        </w:tc>
      </w:tr>
      <w:tr w:rsidR="00705952" w:rsidRPr="00F731E9" w:rsidTr="00482FFB">
        <w:tc>
          <w:tcPr>
            <w:tcW w:w="7054" w:type="dxa"/>
          </w:tcPr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4. Бюджетні кошти використовуються на оплату: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bookmarkStart w:id="1" w:name="n17"/>
            <w:bookmarkEnd w:id="1"/>
            <w:r w:rsidRPr="00F731E9">
              <w:rPr>
                <w:sz w:val="28"/>
                <w:szCs w:val="28"/>
              </w:rPr>
              <w:t xml:space="preserve">1) вартості комплексної соціальної послуги з формування життєстійкості відповідно до </w:t>
            </w:r>
            <w:hyperlink r:id="rId5" w:anchor="n293" w:tgtFrame="_blank" w:history="1">
              <w:r w:rsidRPr="00F731E9">
                <w:rPr>
                  <w:rStyle w:val="a3"/>
                  <w:sz w:val="28"/>
                  <w:szCs w:val="28"/>
                </w:rPr>
                <w:t>Порядку використання коштів, передбачених у державному бюджеті для реалізації експериментального проекту із запровадження комплексної соціальної послуги з формування життєстійкості</w:t>
              </w:r>
            </w:hyperlink>
            <w:r w:rsidRPr="00F731E9">
              <w:rPr>
                <w:sz w:val="28"/>
                <w:szCs w:val="28"/>
              </w:rPr>
              <w:t>, затвердженого постановою Кабінету Міністрів України від 3 жовтня 2023 р. № 1049 (Офіційний вісник України, 2023 р., № 94, ст. 5558);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…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5) послуги денного догляду для дітей з інвалідністю відповідно до порядку, затвердженого в установленому порядку.</w:t>
            </w:r>
          </w:p>
        </w:tc>
        <w:tc>
          <w:tcPr>
            <w:tcW w:w="7938" w:type="dxa"/>
          </w:tcPr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4. Бюджетні кошти використовуються на оплату: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 xml:space="preserve">1) вартості комплексної соціальної послуги з формування життєстійкості відповідно до </w:t>
            </w:r>
            <w:hyperlink r:id="rId6" w:anchor="n293" w:tgtFrame="_blank" w:history="1">
              <w:r w:rsidRPr="00F731E9">
                <w:rPr>
                  <w:rStyle w:val="a3"/>
                  <w:sz w:val="28"/>
                  <w:szCs w:val="28"/>
                </w:rPr>
                <w:t>Порядку використання коштів, передбачених у державному бюджеті для реалізації експериментального проекту із запровадження комплексної соціальної послуги з формування життєстійкості</w:t>
              </w:r>
            </w:hyperlink>
            <w:r w:rsidRPr="00F731E9">
              <w:rPr>
                <w:sz w:val="28"/>
                <w:szCs w:val="28"/>
              </w:rPr>
              <w:t>, затвердженого постановою Кабінету Міністрів України від 3 жовтня 2023 р. № 1049 (Офіційний вісник України, 2023 р., № 94, ст. 5558);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…</w:t>
            </w:r>
          </w:p>
          <w:p w:rsidR="00705952" w:rsidRPr="00F731E9" w:rsidRDefault="00705952" w:rsidP="00482FFB">
            <w:pPr>
              <w:ind w:firstLine="377"/>
              <w:jc w:val="both"/>
              <w:rPr>
                <w:sz w:val="28"/>
                <w:szCs w:val="28"/>
              </w:rPr>
            </w:pPr>
            <w:r w:rsidRPr="00F731E9">
              <w:rPr>
                <w:b/>
                <w:sz w:val="28"/>
                <w:szCs w:val="28"/>
              </w:rPr>
              <w:t>5)</w:t>
            </w:r>
            <w:r w:rsidRPr="00F731E9">
              <w:rPr>
                <w:sz w:val="28"/>
                <w:szCs w:val="28"/>
              </w:rPr>
              <w:t xml:space="preserve"> </w:t>
            </w:r>
            <w:r w:rsidRPr="00F731E9">
              <w:rPr>
                <w:b/>
                <w:sz w:val="28"/>
                <w:szCs w:val="28"/>
              </w:rPr>
              <w:t xml:space="preserve">соціальної послуги з комплексного розвитку та догляду дітей з інвалідністю відповідно до Порядку реалізації експериментального проекту із </w:t>
            </w:r>
            <w:r>
              <w:rPr>
                <w:b/>
                <w:sz w:val="28"/>
                <w:szCs w:val="28"/>
              </w:rPr>
              <w:t>закупівлі</w:t>
            </w:r>
            <w:r w:rsidRPr="00F731E9">
              <w:rPr>
                <w:b/>
                <w:sz w:val="28"/>
                <w:szCs w:val="28"/>
              </w:rPr>
              <w:t xml:space="preserve"> соціальної послуги з комплексного розвитку та догляду дітей з інвалідністю, затвердженого постановою Кабінету Міністрів України від        </w:t>
            </w:r>
            <w:r w:rsidRPr="00F731E9">
              <w:rPr>
                <w:b/>
                <w:sz w:val="28"/>
                <w:szCs w:val="28"/>
              </w:rPr>
              <w:tab/>
              <w:t>2025 р. №    „Про реалізацію експериментального проекту із закупівлі соціальної послуги з комплексного розвитку та догляду з інвалідністю” (Офіційний вісник України, 2025 р., №   , ст.     ).</w:t>
            </w:r>
          </w:p>
        </w:tc>
      </w:tr>
      <w:tr w:rsidR="00705952" w:rsidRPr="00F731E9" w:rsidTr="00482FFB">
        <w:tc>
          <w:tcPr>
            <w:tcW w:w="7054" w:type="dxa"/>
          </w:tcPr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 xml:space="preserve">5. Розподіл бюджетних коштів за напрямами, зазначеними у </w:t>
            </w:r>
            <w:hyperlink r:id="rId7" w:anchor="n16" w:history="1">
              <w:r w:rsidRPr="00F731E9">
                <w:rPr>
                  <w:rStyle w:val="a3"/>
                  <w:sz w:val="28"/>
                  <w:szCs w:val="28"/>
                </w:rPr>
                <w:t>пункті 4</w:t>
              </w:r>
            </w:hyperlink>
            <w:r w:rsidRPr="00F731E9">
              <w:rPr>
                <w:sz w:val="28"/>
                <w:szCs w:val="28"/>
              </w:rPr>
              <w:t xml:space="preserve"> цього Порядку, здійснюється головним розпорядником бюджетних коштів виходячи з </w:t>
            </w:r>
            <w:r w:rsidRPr="00F731E9">
              <w:rPr>
                <w:sz w:val="28"/>
                <w:szCs w:val="28"/>
              </w:rPr>
              <w:lastRenderedPageBreak/>
              <w:t xml:space="preserve">прогнозної кількості надавачів соціальних послуг, планової вартості надання соціальних послуг, затверджених тарифів на окремі соціальні послуги, норми тривалості робочого часу, прогнозної кількості отримувачів таких соціальних послуг та з урахуванням інших критеріїв, визначених експериментальними проектами, затвердженими постановами Кабінету Міністрів України від 3 жовтня 2023 р. </w:t>
            </w:r>
            <w:hyperlink r:id="rId8" w:tgtFrame="_blank" w:history="1">
              <w:r w:rsidRPr="00F731E9">
                <w:rPr>
                  <w:rStyle w:val="a3"/>
                  <w:sz w:val="28"/>
                  <w:szCs w:val="28"/>
                </w:rPr>
                <w:t>№ 1049</w:t>
              </w:r>
            </w:hyperlink>
            <w:r w:rsidRPr="00F731E9">
              <w:rPr>
                <w:sz w:val="28"/>
                <w:szCs w:val="28"/>
              </w:rPr>
              <w:t xml:space="preserve"> „Про реалізацію експериментального проекту із запровадження комплексної соціальної послуги з формування життєстійкості” (Офіційний вісник України, 2023 р., № 94, ст. 5558), від 3 жовтня 2023 р.      </w:t>
            </w:r>
            <w:hyperlink r:id="rId9" w:tgtFrame="_blank" w:history="1">
              <w:r w:rsidRPr="00F731E9">
                <w:rPr>
                  <w:rStyle w:val="a3"/>
                  <w:sz w:val="28"/>
                  <w:szCs w:val="28"/>
                </w:rPr>
                <w:t>№ 1050</w:t>
              </w:r>
            </w:hyperlink>
            <w:r w:rsidRPr="00F731E9">
              <w:rPr>
                <w:sz w:val="28"/>
                <w:szCs w:val="28"/>
              </w:rPr>
              <w:t xml:space="preserve"> „Про реалізацію експериментального проекту із запровадження 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Сил” (Офіційний вісник України, 2023 р.,       № 94, ст. 5559), від 31 грудня 2024 р. </w:t>
            </w:r>
            <w:hyperlink r:id="rId10" w:anchor="n2" w:tgtFrame="_blank" w:history="1">
              <w:r w:rsidRPr="00F731E9">
                <w:rPr>
                  <w:rStyle w:val="a3"/>
                  <w:sz w:val="28"/>
                  <w:szCs w:val="28"/>
                </w:rPr>
                <w:t>№ 1555</w:t>
              </w:r>
            </w:hyperlink>
            <w:r w:rsidRPr="00F731E9">
              <w:rPr>
                <w:sz w:val="28"/>
                <w:szCs w:val="28"/>
              </w:rPr>
              <w:t xml:space="preserve"> „Деякі питання реалізації експериментального проекту з тимчасового розміщення та підтримки деяких категорій осіб з числа внутрішньо переміщених осіб, які перебувають у складних життєвих обставинах”, від 6 серпня 2024 р. </w:t>
            </w:r>
            <w:hyperlink r:id="rId11" w:anchor="n2" w:tgtFrame="_blank" w:history="1">
              <w:r w:rsidRPr="00F731E9">
                <w:rPr>
                  <w:rStyle w:val="a3"/>
                  <w:sz w:val="28"/>
                  <w:szCs w:val="28"/>
                </w:rPr>
                <w:t>№ 888</w:t>
              </w:r>
            </w:hyperlink>
            <w:r w:rsidRPr="00F731E9">
              <w:rPr>
                <w:sz w:val="28"/>
                <w:szCs w:val="28"/>
              </w:rPr>
              <w:t xml:space="preserve"> „Деякі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„гроші ходять за людиною”.</w:t>
            </w:r>
          </w:p>
        </w:tc>
        <w:tc>
          <w:tcPr>
            <w:tcW w:w="7938" w:type="dxa"/>
          </w:tcPr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lastRenderedPageBreak/>
              <w:t xml:space="preserve">5. Розподіл бюджетних коштів за напрямами, зазначеними у пункті 4 цього Порядку, здійснюється головним розпорядником бюджетних коштів виходячи з прогнозної кількості надавачів </w:t>
            </w:r>
            <w:r w:rsidRPr="00F731E9">
              <w:rPr>
                <w:sz w:val="28"/>
                <w:szCs w:val="28"/>
              </w:rPr>
              <w:lastRenderedPageBreak/>
              <w:t xml:space="preserve">соціальних послуг, планової вартості надання соціальних послуг, затверджених тарифів на окремі соціальні послуги, норми тривалості робочого часу, прогнозної кількості отримувачів таких соціальних послуг та з урахуванням інших критеріїв, визначених експериментальними проектами, затвердженими постановами Кабінету Міністрів України від                  3 жовтня 2023 р. № 1049 „Про реалізацію експериментального проекту із запровадження комплексної соціальної послуги з формування життєстійкості” (Офіційний вісник України,                2023 р., № 94, ст. 5558), від 3 жовтня 2023 р. № 1050 „Про реалізацію експериментального проекту із запровадження 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Сил” (Офіційний вісник України, 2023 р., № 94, ст. 5559), від 31 грудня 2024 р. № 1555 „Деякі питання реалізації експериментального проекту з тимчасового розміщення та підтримки деяких категорій осіб з числа внутрішньо переміщених осіб, які перебувають у складних життєвих обставинах”, від 6 серпня 2024 р. № 888 „Деякі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„гроші ходять за людиною”, </w:t>
            </w:r>
            <w:r w:rsidRPr="00F731E9">
              <w:rPr>
                <w:b/>
                <w:sz w:val="28"/>
                <w:szCs w:val="28"/>
              </w:rPr>
              <w:t xml:space="preserve">від  2025 р. </w:t>
            </w:r>
            <w:hyperlink r:id="rId12" w:anchor="n2" w:tgtFrame="_blank" w:history="1">
              <w:r w:rsidRPr="00F731E9">
                <w:rPr>
                  <w:rStyle w:val="a3"/>
                  <w:b/>
                  <w:sz w:val="28"/>
                  <w:szCs w:val="28"/>
                </w:rPr>
                <w:t>№</w:t>
              </w:r>
            </w:hyperlink>
            <w:r w:rsidRPr="00F731E9">
              <w:rPr>
                <w:b/>
                <w:sz w:val="28"/>
                <w:szCs w:val="28"/>
              </w:rPr>
              <w:t xml:space="preserve">   „Про реалізацію експериментального проекту із закупівлі соціальної послуги з комплексного розвитку та догляду дітей з інвалідністю</w:t>
            </w:r>
            <w:r w:rsidRPr="00F731E9">
              <w:rPr>
                <w:sz w:val="28"/>
                <w:szCs w:val="28"/>
              </w:rPr>
              <w:t>.</w:t>
            </w:r>
          </w:p>
        </w:tc>
      </w:tr>
      <w:tr w:rsidR="00705952" w:rsidRPr="00F731E9" w:rsidTr="00482FFB">
        <w:tc>
          <w:tcPr>
            <w:tcW w:w="7054" w:type="dxa"/>
          </w:tcPr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lastRenderedPageBreak/>
              <w:t xml:space="preserve">6. Мінсоцполітики в межах помісячних бюджетних асигнувань спрямовує бюджетні кошти розпорядникам </w:t>
            </w:r>
            <w:r w:rsidRPr="00F731E9">
              <w:rPr>
                <w:sz w:val="28"/>
                <w:szCs w:val="28"/>
              </w:rPr>
              <w:lastRenderedPageBreak/>
              <w:t>нижчого рівня для подальшого їх перерахування на рахунки надавачів соціальних послуг за фактично надані соціальні послуги: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bookmarkStart w:id="2" w:name="n24"/>
            <w:bookmarkEnd w:id="2"/>
            <w:r w:rsidRPr="00F731E9">
              <w:rPr>
                <w:sz w:val="28"/>
                <w:szCs w:val="28"/>
              </w:rPr>
              <w:t xml:space="preserve">1) за напрямом, визначеним </w:t>
            </w:r>
            <w:hyperlink r:id="rId13" w:anchor="n17" w:history="1">
              <w:r w:rsidRPr="00F731E9">
                <w:rPr>
                  <w:rStyle w:val="a3"/>
                  <w:sz w:val="28"/>
                  <w:szCs w:val="28"/>
                </w:rPr>
                <w:t>підпунктом 1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Порядку, – Фонду на підставі зведеного звіту про комплексну соціальну послугу з формування життєстійкості, надану у звітному періоді;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bookmarkStart w:id="3" w:name="n25"/>
            <w:bookmarkEnd w:id="3"/>
            <w:r w:rsidRPr="00F731E9">
              <w:rPr>
                <w:sz w:val="28"/>
                <w:szCs w:val="28"/>
              </w:rPr>
              <w:t>…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bookmarkStart w:id="4" w:name="n28"/>
            <w:bookmarkEnd w:id="4"/>
            <w:r w:rsidRPr="00F731E9">
              <w:rPr>
                <w:sz w:val="28"/>
                <w:szCs w:val="28"/>
              </w:rPr>
              <w:t xml:space="preserve">4) за напрямом, визначеним </w:t>
            </w:r>
            <w:hyperlink r:id="rId14" w:anchor="n20" w:history="1">
              <w:r w:rsidRPr="00F731E9">
                <w:rPr>
                  <w:rStyle w:val="a3"/>
                  <w:sz w:val="28"/>
                  <w:szCs w:val="28"/>
                </w:rPr>
                <w:t>підпунктом 4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Порядку, – Фонду на підставі заявки на потребу в бюджетних коштах для оплати наданих соціальних послуг.</w:t>
            </w:r>
          </w:p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lastRenderedPageBreak/>
              <w:t xml:space="preserve">6. Мінсоцполітики в межах помісячних бюджетних асигнувань спрямовує бюджетні кошти розпорядникам нижчого </w:t>
            </w:r>
            <w:r w:rsidRPr="00F731E9">
              <w:rPr>
                <w:sz w:val="28"/>
                <w:szCs w:val="28"/>
              </w:rPr>
              <w:lastRenderedPageBreak/>
              <w:t>рівня для подальшого їх перерахування на рахунки надавачів соціальних послуг за фактично надані соціальні послуги:</w:t>
            </w:r>
          </w:p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 xml:space="preserve">1) за напрямом, визначеним </w:t>
            </w:r>
            <w:hyperlink r:id="rId15" w:anchor="n17" w:history="1">
              <w:r w:rsidRPr="00F731E9">
                <w:rPr>
                  <w:rStyle w:val="a3"/>
                  <w:sz w:val="28"/>
                  <w:szCs w:val="28"/>
                </w:rPr>
                <w:t>підпунктом 1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Порядку, – Фонду на підставі зведеного звіту про комплексну соціальну послугу з формування життєстійкості, надану у звітному періоді;</w:t>
            </w:r>
          </w:p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>…</w:t>
            </w:r>
          </w:p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 xml:space="preserve">4) за напрямом, визначеним </w:t>
            </w:r>
            <w:hyperlink r:id="rId16" w:anchor="n20" w:history="1">
              <w:r w:rsidRPr="00F731E9">
                <w:rPr>
                  <w:rStyle w:val="a3"/>
                  <w:sz w:val="28"/>
                  <w:szCs w:val="28"/>
                </w:rPr>
                <w:t>підпунктом 4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Порядку, – Фонду на підставі заявки на потребу в бюджетних коштах для оплати наданих соціальних послуг;</w:t>
            </w:r>
          </w:p>
          <w:p w:rsidR="00705952" w:rsidRPr="00F731E9" w:rsidRDefault="00705952" w:rsidP="00482FFB">
            <w:pPr>
              <w:ind w:firstLine="456"/>
              <w:jc w:val="both"/>
              <w:rPr>
                <w:b/>
                <w:sz w:val="28"/>
                <w:szCs w:val="28"/>
              </w:rPr>
            </w:pPr>
            <w:r w:rsidRPr="00F731E9">
              <w:rPr>
                <w:b/>
                <w:sz w:val="28"/>
                <w:szCs w:val="28"/>
              </w:rPr>
              <w:t>5)</w:t>
            </w:r>
            <w:r w:rsidRPr="00F731E9">
              <w:rPr>
                <w:sz w:val="28"/>
                <w:szCs w:val="28"/>
              </w:rPr>
              <w:t xml:space="preserve"> </w:t>
            </w:r>
            <w:r w:rsidRPr="00F731E9">
              <w:rPr>
                <w:b/>
                <w:sz w:val="28"/>
                <w:szCs w:val="28"/>
              </w:rPr>
              <w:t xml:space="preserve">за напрямом, визначеним </w:t>
            </w:r>
            <w:hyperlink r:id="rId17" w:anchor="n18" w:history="1">
              <w:r w:rsidRPr="00F731E9">
                <w:rPr>
                  <w:rStyle w:val="a3"/>
                  <w:b/>
                  <w:sz w:val="28"/>
                  <w:szCs w:val="28"/>
                </w:rPr>
                <w:t xml:space="preserve">підпунктом </w:t>
              </w:r>
            </w:hyperlink>
            <w:r w:rsidRPr="00F731E9">
              <w:rPr>
                <w:b/>
                <w:sz w:val="28"/>
                <w:szCs w:val="28"/>
              </w:rPr>
              <w:t>5 пункту 4 цього Порядку, – Фонду на підставі зведеного звіту про надану соціальну послугу у звітному періоді.</w:t>
            </w:r>
          </w:p>
          <w:p w:rsidR="00705952" w:rsidRPr="00F731E9" w:rsidRDefault="00705952" w:rsidP="00482FFB">
            <w:pPr>
              <w:jc w:val="both"/>
              <w:rPr>
                <w:sz w:val="28"/>
                <w:szCs w:val="28"/>
              </w:rPr>
            </w:pPr>
          </w:p>
        </w:tc>
      </w:tr>
      <w:tr w:rsidR="00705952" w:rsidRPr="00F731E9" w:rsidTr="00482FFB">
        <w:tc>
          <w:tcPr>
            <w:tcW w:w="7054" w:type="dxa"/>
          </w:tcPr>
          <w:p w:rsidR="00705952" w:rsidRPr="00F731E9" w:rsidRDefault="00705952" w:rsidP="00482FFB">
            <w:pPr>
              <w:ind w:firstLine="42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lastRenderedPageBreak/>
              <w:t xml:space="preserve">11. Зведений звіт про використання бюджетних коштів за формою, встановленою Мінсоцполітики, подається щокварталу до 30 числа місяця, що настає за звітним періодом, Мінсоцполітики Фондом за напрямами, зазначеними у </w:t>
            </w:r>
            <w:hyperlink r:id="rId18" w:anchor="n17" w:history="1">
              <w:r w:rsidRPr="00F731E9">
                <w:rPr>
                  <w:rStyle w:val="a3"/>
                  <w:sz w:val="28"/>
                  <w:szCs w:val="28"/>
                </w:rPr>
                <w:t>підпунктах 1</w:t>
              </w:r>
            </w:hyperlink>
            <w:r w:rsidRPr="00F731E9">
              <w:rPr>
                <w:sz w:val="28"/>
                <w:szCs w:val="28"/>
              </w:rPr>
              <w:t xml:space="preserve">, </w:t>
            </w:r>
            <w:hyperlink r:id="rId19" w:anchor="n18" w:history="1">
              <w:r w:rsidRPr="00F731E9">
                <w:rPr>
                  <w:rStyle w:val="a3"/>
                  <w:sz w:val="28"/>
                  <w:szCs w:val="28"/>
                </w:rPr>
                <w:t>2</w:t>
              </w:r>
            </w:hyperlink>
            <w:r w:rsidRPr="00F731E9">
              <w:rPr>
                <w:sz w:val="28"/>
                <w:szCs w:val="28"/>
              </w:rPr>
              <w:t xml:space="preserve"> і </w:t>
            </w:r>
            <w:hyperlink r:id="rId20" w:anchor="n20" w:history="1">
              <w:r w:rsidRPr="00F731E9">
                <w:rPr>
                  <w:rStyle w:val="a3"/>
                  <w:sz w:val="28"/>
                  <w:szCs w:val="28"/>
                </w:rPr>
                <w:t>4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Порядку, та Нацсоцслужбою – за напрямом, зазначеним у </w:t>
            </w:r>
            <w:hyperlink r:id="rId21" w:anchor="n19" w:history="1">
              <w:r w:rsidRPr="00F731E9">
                <w:rPr>
                  <w:rStyle w:val="a3"/>
                  <w:sz w:val="28"/>
                  <w:szCs w:val="28"/>
                </w:rPr>
                <w:t>підпункті 3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Порядку.</w:t>
            </w:r>
          </w:p>
        </w:tc>
        <w:tc>
          <w:tcPr>
            <w:tcW w:w="7938" w:type="dxa"/>
          </w:tcPr>
          <w:p w:rsidR="00705952" w:rsidRPr="00F731E9" w:rsidRDefault="00705952" w:rsidP="00482FFB">
            <w:pPr>
              <w:ind w:firstLine="456"/>
              <w:jc w:val="both"/>
              <w:rPr>
                <w:sz w:val="28"/>
                <w:szCs w:val="28"/>
              </w:rPr>
            </w:pPr>
            <w:r w:rsidRPr="00F731E9">
              <w:rPr>
                <w:sz w:val="28"/>
                <w:szCs w:val="28"/>
              </w:rPr>
              <w:t xml:space="preserve">11. Зведений звіт про використання бюджетних коштів за формою, встановленою Мінсоцполітики, подається щокварталу до 30 числа місяця, що настає за звітним періодом, Мінсоцполітики Фондом за напрямами, зазначеними у </w:t>
            </w:r>
            <w:hyperlink r:id="rId22" w:anchor="n17" w:history="1">
              <w:r w:rsidRPr="00F731E9">
                <w:rPr>
                  <w:rStyle w:val="a3"/>
                  <w:sz w:val="28"/>
                  <w:szCs w:val="28"/>
                </w:rPr>
                <w:t>підпунктах 1</w:t>
              </w:r>
            </w:hyperlink>
            <w:r w:rsidRPr="00F731E9">
              <w:rPr>
                <w:sz w:val="28"/>
                <w:szCs w:val="28"/>
              </w:rPr>
              <w:t xml:space="preserve">, </w:t>
            </w:r>
            <w:hyperlink r:id="rId23" w:anchor="n18" w:history="1">
              <w:r w:rsidRPr="00F731E9">
                <w:rPr>
                  <w:rStyle w:val="a3"/>
                  <w:sz w:val="28"/>
                  <w:szCs w:val="28"/>
                </w:rPr>
                <w:t>2</w:t>
              </w:r>
            </w:hyperlink>
            <w:r w:rsidRPr="00F731E9">
              <w:rPr>
                <w:sz w:val="28"/>
                <w:szCs w:val="28"/>
              </w:rPr>
              <w:t xml:space="preserve">, </w:t>
            </w:r>
            <w:hyperlink r:id="rId24" w:anchor="n20" w:history="1">
              <w:r w:rsidRPr="00F731E9">
                <w:rPr>
                  <w:rStyle w:val="a3"/>
                  <w:sz w:val="28"/>
                  <w:szCs w:val="28"/>
                </w:rPr>
                <w:t>4</w:t>
              </w:r>
            </w:hyperlink>
            <w:r w:rsidRPr="00F731E9">
              <w:rPr>
                <w:sz w:val="28"/>
                <w:szCs w:val="28"/>
              </w:rPr>
              <w:t xml:space="preserve"> </w:t>
            </w:r>
            <w:r w:rsidRPr="00F731E9">
              <w:rPr>
                <w:b/>
                <w:sz w:val="28"/>
                <w:szCs w:val="28"/>
              </w:rPr>
              <w:t>і 5</w:t>
            </w:r>
            <w:r w:rsidRPr="00F731E9">
              <w:rPr>
                <w:sz w:val="28"/>
                <w:szCs w:val="28"/>
              </w:rPr>
              <w:t xml:space="preserve"> пункту 4 цього Порядку, та                 Нацсоцслужбою – за напрямом, зазначеним у </w:t>
            </w:r>
            <w:hyperlink r:id="rId25" w:anchor="n19" w:history="1">
              <w:r w:rsidRPr="00F731E9">
                <w:rPr>
                  <w:rStyle w:val="a3"/>
                  <w:sz w:val="28"/>
                  <w:szCs w:val="28"/>
                </w:rPr>
                <w:t>підпункті 3</w:t>
              </w:r>
            </w:hyperlink>
            <w:r w:rsidRPr="00F731E9">
              <w:rPr>
                <w:sz w:val="28"/>
                <w:szCs w:val="28"/>
              </w:rPr>
              <w:t xml:space="preserve"> пункту 4 цього Порядку.</w:t>
            </w:r>
          </w:p>
        </w:tc>
      </w:tr>
    </w:tbl>
    <w:p w:rsidR="00705952" w:rsidRDefault="00705952" w:rsidP="00705952">
      <w:pPr>
        <w:shd w:val="clear" w:color="auto" w:fill="FFFFFF"/>
        <w:ind w:left="448" w:right="448"/>
        <w:jc w:val="center"/>
        <w:rPr>
          <w:b/>
          <w:bCs/>
          <w:sz w:val="28"/>
          <w:szCs w:val="28"/>
        </w:rPr>
      </w:pPr>
    </w:p>
    <w:p w:rsidR="00705952" w:rsidRPr="00F731E9" w:rsidRDefault="00705952" w:rsidP="00705952">
      <w:pPr>
        <w:shd w:val="clear" w:color="auto" w:fill="FFFFFF"/>
        <w:ind w:left="448" w:right="448"/>
        <w:jc w:val="center"/>
        <w:rPr>
          <w:b/>
          <w:bCs/>
          <w:sz w:val="28"/>
          <w:szCs w:val="28"/>
        </w:rPr>
      </w:pPr>
    </w:p>
    <w:p w:rsidR="00705952" w:rsidRPr="00F731E9" w:rsidRDefault="00705952" w:rsidP="00705952">
      <w:pPr>
        <w:shd w:val="clear" w:color="auto" w:fill="FFFFFF"/>
        <w:tabs>
          <w:tab w:val="left" w:pos="0"/>
        </w:tabs>
        <w:spacing w:before="240" w:after="240"/>
        <w:ind w:right="-426"/>
        <w:jc w:val="both"/>
        <w:rPr>
          <w:b/>
          <w:sz w:val="28"/>
          <w:szCs w:val="28"/>
        </w:rPr>
      </w:pPr>
      <w:r w:rsidRPr="00F731E9">
        <w:rPr>
          <w:b/>
          <w:sz w:val="28"/>
          <w:szCs w:val="28"/>
        </w:rPr>
        <w:t xml:space="preserve">Міністр соціальної політики України                       </w:t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</w:r>
      <w:r w:rsidRPr="00F731E9">
        <w:rPr>
          <w:b/>
          <w:sz w:val="28"/>
          <w:szCs w:val="28"/>
        </w:rPr>
        <w:tab/>
        <w:t xml:space="preserve"> </w:t>
      </w:r>
      <w:r w:rsidRPr="00F731E9">
        <w:rPr>
          <w:b/>
          <w:sz w:val="28"/>
          <w:szCs w:val="28"/>
        </w:rPr>
        <w:tab/>
        <w:t>Оксана ЖОЛНОВИЧ</w:t>
      </w:r>
    </w:p>
    <w:p w:rsidR="00705952" w:rsidRPr="00F731E9" w:rsidRDefault="00705952" w:rsidP="00705952">
      <w:pPr>
        <w:shd w:val="clear" w:color="auto" w:fill="FFFFFF"/>
        <w:tabs>
          <w:tab w:val="left" w:pos="0"/>
        </w:tabs>
        <w:spacing w:before="240" w:after="240"/>
        <w:ind w:right="-426"/>
        <w:jc w:val="both"/>
        <w:rPr>
          <w:b/>
          <w:bCs/>
          <w:sz w:val="28"/>
          <w:szCs w:val="28"/>
        </w:rPr>
      </w:pPr>
      <w:r w:rsidRPr="00F731E9">
        <w:rPr>
          <w:sz w:val="28"/>
          <w:szCs w:val="28"/>
        </w:rPr>
        <w:t xml:space="preserve">____  _______________ 2025 р. </w:t>
      </w:r>
    </w:p>
    <w:p w:rsidR="00016854" w:rsidRDefault="00016854"/>
    <w:sectPr w:rsidR="00016854" w:rsidSect="006373B1"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52"/>
    <w:rsid w:val="00016854"/>
    <w:rsid w:val="007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555F"/>
  <w15:chartTrackingRefBased/>
  <w15:docId w15:val="{BF88FA14-B8A7-4D0B-9E9F-944E439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952"/>
    <w:rPr>
      <w:rFonts w:cs="Times New Roman"/>
      <w:color w:val="0563C1" w:themeColor="hyperlink"/>
      <w:u w:val="single"/>
    </w:rPr>
  </w:style>
  <w:style w:type="table" w:customStyle="1" w:styleId="2">
    <w:name w:val="Сітка таблиці2"/>
    <w:basedOn w:val="a1"/>
    <w:next w:val="a4"/>
    <w:uiPriority w:val="39"/>
    <w:rsid w:val="0070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0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49-2023-%D0%BF" TargetMode="External"/><Relationship Id="rId13" Type="http://schemas.openxmlformats.org/officeDocument/2006/relationships/hyperlink" Target="https://zakon.rada.gov.ua/laws/show/1352-2023-%D0%BF" TargetMode="External"/><Relationship Id="rId18" Type="http://schemas.openxmlformats.org/officeDocument/2006/relationships/hyperlink" Target="https://zakon.rada.gov.ua/laws/show/1352-2023-%D0%B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1352-2023-%D0%BF" TargetMode="External"/><Relationship Id="rId7" Type="http://schemas.openxmlformats.org/officeDocument/2006/relationships/hyperlink" Target="https://zakon.rada.gov.ua/laws/show/1352-2023-%D0%BF" TargetMode="External"/><Relationship Id="rId12" Type="http://schemas.openxmlformats.org/officeDocument/2006/relationships/hyperlink" Target="https://zakon.rada.gov.ua/laws/show/888-2024-%D0%BF" TargetMode="External"/><Relationship Id="rId17" Type="http://schemas.openxmlformats.org/officeDocument/2006/relationships/hyperlink" Target="https://zakon.rada.gov.ua/laws/show/1352-2023-%D0%BF" TargetMode="External"/><Relationship Id="rId25" Type="http://schemas.openxmlformats.org/officeDocument/2006/relationships/hyperlink" Target="https://zakon.rada.gov.ua/laws/show/1352-2023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352-2023-%D0%BF" TargetMode="External"/><Relationship Id="rId20" Type="http://schemas.openxmlformats.org/officeDocument/2006/relationships/hyperlink" Target="https://zakon.rada.gov.ua/laws/show/1352-2023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49-2023-%D0%BF" TargetMode="External"/><Relationship Id="rId11" Type="http://schemas.openxmlformats.org/officeDocument/2006/relationships/hyperlink" Target="https://zakon.rada.gov.ua/laws/show/888-2024-%D0%BF" TargetMode="External"/><Relationship Id="rId24" Type="http://schemas.openxmlformats.org/officeDocument/2006/relationships/hyperlink" Target="https://zakon.rada.gov.ua/laws/show/1352-2023-%D0%BF" TargetMode="External"/><Relationship Id="rId5" Type="http://schemas.openxmlformats.org/officeDocument/2006/relationships/hyperlink" Target="https://zakon.rada.gov.ua/laws/show/1049-2023-%D0%BF" TargetMode="External"/><Relationship Id="rId15" Type="http://schemas.openxmlformats.org/officeDocument/2006/relationships/hyperlink" Target="https://zakon.rada.gov.ua/laws/show/1352-2023-%D0%BF" TargetMode="External"/><Relationship Id="rId23" Type="http://schemas.openxmlformats.org/officeDocument/2006/relationships/hyperlink" Target="https://zakon.rada.gov.ua/laws/show/1352-2023-%D0%BF" TargetMode="External"/><Relationship Id="rId10" Type="http://schemas.openxmlformats.org/officeDocument/2006/relationships/hyperlink" Target="https://zakon.rada.gov.ua/laws/show/1555-2024-%D0%BF" TargetMode="External"/><Relationship Id="rId19" Type="http://schemas.openxmlformats.org/officeDocument/2006/relationships/hyperlink" Target="https://zakon.rada.gov.ua/laws/show/1352-2023-%D0%BF" TargetMode="External"/><Relationship Id="rId4" Type="http://schemas.openxmlformats.org/officeDocument/2006/relationships/hyperlink" Target="https://zakon.rada.gov.ua/laws/show/1352-2023-%D0%BF" TargetMode="External"/><Relationship Id="rId9" Type="http://schemas.openxmlformats.org/officeDocument/2006/relationships/hyperlink" Target="https://zakon.rada.gov.ua/laws/show/1050-2023-%D0%BF" TargetMode="External"/><Relationship Id="rId14" Type="http://schemas.openxmlformats.org/officeDocument/2006/relationships/hyperlink" Target="https://zakon.rada.gov.ua/laws/show/1352-2023-%D0%BF" TargetMode="External"/><Relationship Id="rId22" Type="http://schemas.openxmlformats.org/officeDocument/2006/relationships/hyperlink" Target="https://zakon.rada.gov.ua/laws/show/1352-2023-%D0%B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5776</Words>
  <Characters>3293</Characters>
  <Application>Microsoft Office Word</Application>
  <DocSecurity>0</DocSecurity>
  <Lines>27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2025-04-09T12:10:00Z</dcterms:created>
  <dcterms:modified xsi:type="dcterms:W3CDTF">2025-04-09T12:11:00Z</dcterms:modified>
</cp:coreProperties>
</file>