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F1" w:rsidRDefault="00DF16F1" w:rsidP="00DF1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ПОРІВНЯЛЬНА ТАБЛИЦЯ</w:t>
      </w:r>
    </w:p>
    <w:p w:rsidR="00DF16F1" w:rsidRDefault="00DF16F1" w:rsidP="00DF16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 проекту постанови Кабінету Міністрів України „Про реалізацію експериментального проекту щодо запровадження комплексної послуги „Сімейна домівка”</w:t>
      </w:r>
    </w:p>
    <w:p w:rsidR="00DF16F1" w:rsidRDefault="00DF16F1" w:rsidP="00DF16F1">
      <w:pPr>
        <w:jc w:val="center"/>
        <w:rPr>
          <w:b/>
        </w:rPr>
      </w:pP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23"/>
        <w:gridCol w:w="7723"/>
      </w:tblGrid>
      <w:tr w:rsidR="00DF16F1" w:rsidTr="00205C6F">
        <w:trPr>
          <w:trHeight w:val="106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Зміст положення акта законодавства 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Зміст відповідного положення проекту акта </w:t>
            </w:r>
          </w:p>
        </w:tc>
      </w:tr>
      <w:tr w:rsidR="00DF16F1" w:rsidTr="00205C6F">
        <w:trPr>
          <w:trHeight w:val="595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6F1" w:rsidRDefault="00DF16F1" w:rsidP="00205C6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Постанова Кабінету Міністрів України від 30 грудня 2022 р. № 1474 </w:t>
            </w:r>
          </w:p>
          <w:p w:rsidR="00DF16F1" w:rsidRDefault="00DF16F1" w:rsidP="00205C6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„Деякі питання соціального захисту дітей та сім’ї”</w:t>
            </w:r>
          </w:p>
        </w:tc>
      </w:tr>
      <w:tr w:rsidR="00DF16F1" w:rsidTr="00205C6F">
        <w:trPr>
          <w:trHeight w:val="595"/>
        </w:trPr>
        <w:tc>
          <w:tcPr>
            <w:tcW w:w="15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6F1" w:rsidRDefault="00DF16F1" w:rsidP="00205C6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</w:t>
            </w:r>
          </w:p>
          <w:p w:rsidR="00DF16F1" w:rsidRDefault="00DF16F1" w:rsidP="00205C6F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використання коштів, передбачених у державному бюджеті для забезпечення соціального захисту дітей та сім’ї</w:t>
            </w:r>
          </w:p>
        </w:tc>
      </w:tr>
      <w:tr w:rsidR="00DF16F1" w:rsidTr="00205C6F">
        <w:trPr>
          <w:trHeight w:val="595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3. Розпорядниками бюджетних коштів нижчого рівня за напрямами, зазначеними у </w:t>
            </w:r>
            <w:hyperlink r:id="rId4" w:anchor="n20">
              <w:r>
                <w:rPr>
                  <w:sz w:val="28"/>
                  <w:szCs w:val="28"/>
                </w:rPr>
                <w:t>підпунктах 1-10</w:t>
              </w:r>
            </w:hyperlink>
            <w:r>
              <w:rPr>
                <w:sz w:val="28"/>
                <w:szCs w:val="28"/>
              </w:rPr>
              <w:t> пункту 4 цього Порядку, є: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Рада міністрів Автономної Республіки Крим та структурні підрозділи з питань соціального захисту населення обласних, Київської та Севастопольської міських держадміністрацій (далі – регіональні органи соціального захисту населення);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 xml:space="preserve">структурні підрозділи з питань соціального захисту населення районних, районних у мм. Києві та Севастополі держадміністрацій, виконавчих органів міських, районних у містах (у разі їх утворення) рад (далі – місцеві органи соціального захисту населення), центри з нарахування та здійснення соціальних виплат, які відповідають вимогам </w:t>
            </w:r>
            <w:hyperlink r:id="rId5" w:anchor="n146">
              <w:r>
                <w:rPr>
                  <w:sz w:val="28"/>
                  <w:szCs w:val="28"/>
                </w:rPr>
                <w:t>пункту 47</w:t>
              </w:r>
            </w:hyperlink>
            <w:r>
              <w:rPr>
                <w:sz w:val="28"/>
                <w:szCs w:val="28"/>
              </w:rPr>
              <w:t xml:space="preserve"> частини першої статті 2 Бюджетного кодексу України (далі – центри з нарахування та здійснення соціальних виплат).</w:t>
            </w:r>
          </w:p>
          <w:p w:rsidR="00DF16F1" w:rsidRDefault="00DF16F1" w:rsidP="00205C6F">
            <w:pPr>
              <w:spacing w:line="216" w:lineRule="auto"/>
              <w:ind w:firstLine="3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Розпорядником бюджетних коштів нижчого рівня за напрямом, зазначеним у </w:t>
            </w:r>
            <w:hyperlink r:id="rId6" w:anchor="n30">
              <w:r>
                <w:rPr>
                  <w:sz w:val="28"/>
                  <w:szCs w:val="28"/>
                </w:rPr>
                <w:t>підпунктах 11</w:t>
              </w:r>
            </w:hyperlink>
            <w:r>
              <w:rPr>
                <w:sz w:val="28"/>
                <w:szCs w:val="28"/>
              </w:rPr>
              <w:t xml:space="preserve"> і 12 пункту 4 цього Порядку, є Державна служба у справах дітей.</w:t>
            </w: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3. Розпорядниками бюджетних коштів нижчого рівня за напрямами, зазначеними у </w:t>
            </w:r>
            <w:hyperlink r:id="rId7" w:anchor="n20">
              <w:r>
                <w:rPr>
                  <w:sz w:val="28"/>
                  <w:szCs w:val="28"/>
                </w:rPr>
                <w:t>підпунктах 1-10</w:t>
              </w:r>
            </w:hyperlink>
            <w:r>
              <w:rPr>
                <w:sz w:val="28"/>
                <w:szCs w:val="28"/>
              </w:rPr>
              <w:t> пункту 4 цього Порядку, є: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Рада міністрів Автономної Республіки Крим та структурні підрозділи з питань соціального захисту населення обласних, Київської та Севастопольської міських держадміністрацій (далі – регіональні органи соціального захисту населення);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 xml:space="preserve">структурні підрозділи з питань соціального захисту населення районних, районних у мм. Києві та Севастополі держадміністрацій, виконавчих органів міських, районних у містах (у разі їх утворення) рад (далі – місцеві органи соціального захисту населення), центри з нарахування та здійснення соціальних виплат, які відповідають вимогам </w:t>
            </w:r>
            <w:hyperlink r:id="rId8" w:anchor="n146">
              <w:r>
                <w:rPr>
                  <w:sz w:val="28"/>
                  <w:szCs w:val="28"/>
                </w:rPr>
                <w:t>пункту 47</w:t>
              </w:r>
            </w:hyperlink>
            <w:r>
              <w:rPr>
                <w:sz w:val="28"/>
                <w:szCs w:val="28"/>
              </w:rPr>
              <w:t xml:space="preserve"> частини першої статті 2 Бюджетного кодексу України (далі – центри з нарахування та здійснення соціальних виплат).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Розпорядником бюджетних коштів нижчого рівня за напрямом, зазначеним у </w:t>
            </w:r>
            <w:hyperlink r:id="rId9" w:anchor="n30">
              <w:r>
                <w:rPr>
                  <w:sz w:val="28"/>
                  <w:szCs w:val="28"/>
                </w:rPr>
                <w:t>підпунктах 11</w:t>
              </w:r>
            </w:hyperlink>
            <w:r>
              <w:rPr>
                <w:sz w:val="28"/>
                <w:szCs w:val="28"/>
              </w:rPr>
              <w:t> і 12 пункту 4 цього Порядку, є Державна служба у справах дітей.</w:t>
            </w:r>
          </w:p>
          <w:p w:rsidR="00DF16F1" w:rsidRDefault="00DF16F1" w:rsidP="00205C6F">
            <w:pPr>
              <w:spacing w:line="216" w:lineRule="auto"/>
              <w:ind w:firstLine="3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Розпорядником бюджетних коштів нижчого рівня за напрямом, зазначеним у підпункті 16 пункту 4 цього Порядку, є Фонд соціального захисту осіб з інвалідністю.</w:t>
            </w:r>
          </w:p>
        </w:tc>
      </w:tr>
      <w:tr w:rsidR="00DF16F1" w:rsidTr="00205C6F">
        <w:trPr>
          <w:trHeight w:val="595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lastRenderedPageBreak/>
              <w:t>4. Бюджетні кошти спрямовуються на: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</w:pPr>
            <w:r>
              <w:rPr>
                <w:sz w:val="28"/>
                <w:szCs w:val="28"/>
              </w:rPr>
              <w:t>….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15) забезпечення здійснення заходів здійснення заходів з повернення дітей, депортованих або примусово переміщених внаслідок збройної агресії Російської Федерації проти України, відповідно до порядку відповідно до порядку використання коштів державного бюджету, передбачених для забезпечення здійснення заходів з повернення дітей, депортованих або примусово переміщених внаслідок збройної агресії Російської Федерації проти України, затвердженого Кабінетом Міністрів України, а саме: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….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виплату законному представнику дитини одноразової грошової допомоги депортованій або примусово переміщеній дитині та вартості оренди житлових приміщень після її повернення за умови фактичного проживання в них строком не більш як три місяці (у разі потреби).</w:t>
            </w:r>
          </w:p>
          <w:p w:rsidR="00DF16F1" w:rsidRDefault="00DF16F1" w:rsidP="00205C6F">
            <w:pPr>
              <w:spacing w:line="216" w:lineRule="auto"/>
              <w:ind w:firstLine="300"/>
              <w:rPr>
                <w:sz w:val="28"/>
                <w:szCs w:val="28"/>
              </w:rPr>
            </w:pP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4. Бюджетні кошти спрямовуються на: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</w:pPr>
            <w:r>
              <w:rPr>
                <w:sz w:val="28"/>
                <w:szCs w:val="28"/>
              </w:rPr>
              <w:t>….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15) забезпечення здійснення заходів здійснення заходів з повернення дітей, депортованих або примусово переміщених внаслідок збройної агресії Російської Федерації проти України, відповідно до порядку відповідно до порядку використання коштів державного бюджету, передбачених для забезпечення здійснення заходів з повернення дітей, депортованих або примусово переміщених внаслідок збройної агресії Російської Федерації проти України, затвердженого Кабінетом Міністрів України, а саме: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…..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виплату законному представнику дитини одноразової грошової допомоги депортованій або примусово переміщеній дитині та вартості оренди житлових приміщень після її повернення за умови фактичного проживання в них строком не більш як три місяці (у разі потреби).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16) реалізацію експериментального проекту щодо запровадження комплексної послуги «Сімейна домівка» відповідно до Порядку реалізації експериментального проекту щодо запровадження комплексної послуги „Сімейна домівка”, затвердженого постановою Кабінету Міністрів України від ________ р. № _____.</w:t>
            </w:r>
          </w:p>
        </w:tc>
      </w:tr>
      <w:tr w:rsidR="00DF16F1" w:rsidTr="00205C6F">
        <w:trPr>
          <w:trHeight w:val="595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6. Бюджетні кошти спрямовуються: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</w:pPr>
            <w:r>
              <w:rPr>
                <w:sz w:val="28"/>
                <w:szCs w:val="28"/>
              </w:rPr>
              <w:t>….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2) Державній службі у справах дітей: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за напрямом, зазначеним у </w:t>
            </w:r>
            <w:hyperlink r:id="rId10" w:anchor="n30">
              <w:r>
                <w:rPr>
                  <w:sz w:val="28"/>
                  <w:szCs w:val="28"/>
                </w:rPr>
                <w:t>підпункті 11</w:t>
              </w:r>
            </w:hyperlink>
            <w:r>
              <w:rPr>
                <w:sz w:val="28"/>
                <w:szCs w:val="28"/>
              </w:rPr>
              <w:t> пункту 4 цього Порядку, – на підставі зведеного реєстру отримувачів грошової компенсації вартості одноразової натуральної допомоги „пакунок малюка”.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….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 xml:space="preserve">за напрямом, зазначеним у підпункті 12 пункту 4 цього Порядку, – на підставі поданої Державною службою у справах </w:t>
            </w:r>
            <w:r>
              <w:rPr>
                <w:sz w:val="28"/>
                <w:szCs w:val="28"/>
              </w:rPr>
              <w:lastRenderedPageBreak/>
              <w:t>дітей заявки щодо потреби в бюджетних коштах для проведення відповідних розрахунків із переможцем конкурентної процедури закупівлі „пакунка малюка” згідно з умовами укладеного з ним договору про закупівлю за бюджетні кошти, а також на оплату винагороди централізованій закупівельній організації.</w:t>
            </w:r>
          </w:p>
          <w:p w:rsidR="00DF16F1" w:rsidRDefault="00DF16F1" w:rsidP="00205C6F">
            <w:pPr>
              <w:spacing w:line="216" w:lineRule="auto"/>
              <w:ind w:firstLine="300"/>
              <w:rPr>
                <w:sz w:val="28"/>
                <w:szCs w:val="28"/>
              </w:rPr>
            </w:pPr>
          </w:p>
        </w:tc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lastRenderedPageBreak/>
              <w:t>6. Бюджетні кошти спрямовуються: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</w:pPr>
            <w:r>
              <w:rPr>
                <w:sz w:val="28"/>
                <w:szCs w:val="28"/>
              </w:rPr>
              <w:t>….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2) Державній службі у справах дітей: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за напрямом, зазначеним у </w:t>
            </w:r>
            <w:hyperlink r:id="rId11" w:anchor="n30">
              <w:r>
                <w:rPr>
                  <w:sz w:val="28"/>
                  <w:szCs w:val="28"/>
                </w:rPr>
                <w:t>підпункті 11</w:t>
              </w:r>
            </w:hyperlink>
            <w:r>
              <w:rPr>
                <w:sz w:val="28"/>
                <w:szCs w:val="28"/>
              </w:rPr>
              <w:t> пункту 4 цього Порядку, – на підставі зведеного реєстру отримувачів грошової компенсації вартості одноразової натуральної допомоги „пакунок малюка”.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>….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</w:pPr>
            <w:r>
              <w:rPr>
                <w:sz w:val="28"/>
                <w:szCs w:val="28"/>
              </w:rPr>
              <w:t xml:space="preserve">за напрямом, зазначеним у підпункті 12 пункту 4 цього Порядку, – на підставі поданої Державною службою у справах </w:t>
            </w:r>
            <w:r>
              <w:rPr>
                <w:sz w:val="28"/>
                <w:szCs w:val="28"/>
              </w:rPr>
              <w:lastRenderedPageBreak/>
              <w:t>дітей заявки щодо потреби в бюджетних коштах для проведення відповідних розрахунків із переможцем конкурентної процедури закупівлі „пакунка малюка” згідно з умовами укладеного з ним договору про закупівлю за бюджетні кошти, а також на оплату винагороди централізованій закупівельній організації.</w:t>
            </w:r>
          </w:p>
          <w:p w:rsidR="00DF16F1" w:rsidRDefault="00DF16F1" w:rsidP="00205C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firstLine="30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3) Мінсоцполітики в межах помісячних бюджетних асигнувань за напрямом, визначеним підпунктом 16 пункту 4 цього Порядку, – Фонду соціального захисту осіб з інвалідністю на підставі заявки на потребу в бюджетних коштах для здійснення авансового платежу та поданих узагальнених звітів про надану комплексну послугу „Сімейна домівка” у звітному періоді для оплати гарантованої суми коштів, призначеної для здійснення надавачами комплексної послуги „Сімейна домівка” прямих витрат, повʼязаних з її наданням.</w:t>
            </w:r>
          </w:p>
        </w:tc>
      </w:tr>
    </w:tbl>
    <w:p w:rsidR="00DF16F1" w:rsidRDefault="00DF16F1" w:rsidP="00DF16F1">
      <w:pPr>
        <w:widowControl w:val="0"/>
        <w:spacing w:line="276" w:lineRule="auto"/>
        <w:ind w:right="-40"/>
        <w:jc w:val="center"/>
        <w:rPr>
          <w:b/>
          <w:sz w:val="28"/>
          <w:szCs w:val="28"/>
        </w:rPr>
      </w:pPr>
    </w:p>
    <w:p w:rsidR="00DF16F1" w:rsidRDefault="00DF16F1" w:rsidP="00DF16F1">
      <w:pPr>
        <w:widowControl w:val="0"/>
        <w:spacing w:line="276" w:lineRule="auto"/>
        <w:ind w:right="-40"/>
        <w:jc w:val="center"/>
        <w:rPr>
          <w:b/>
          <w:sz w:val="28"/>
          <w:szCs w:val="28"/>
        </w:rPr>
      </w:pPr>
    </w:p>
    <w:p w:rsidR="00DF16F1" w:rsidRDefault="00DF16F1" w:rsidP="00DF16F1">
      <w:pPr>
        <w:widowControl w:val="0"/>
        <w:spacing w:line="276" w:lineRule="auto"/>
        <w:ind w:right="-4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Міністр соціальної політики України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Оксана ЖОЛНОВИЧ      </w:t>
      </w:r>
    </w:p>
    <w:p w:rsidR="00DF16F1" w:rsidRDefault="00DF16F1" w:rsidP="00DF16F1">
      <w:pPr>
        <w:jc w:val="both"/>
        <w:rPr>
          <w:sz w:val="28"/>
          <w:szCs w:val="28"/>
        </w:rPr>
      </w:pPr>
      <w:r>
        <w:rPr>
          <w:sz w:val="28"/>
          <w:szCs w:val="28"/>
        </w:rPr>
        <w:t>___ ____________ 2025 р.</w:t>
      </w:r>
    </w:p>
    <w:p w:rsidR="00DF16F1" w:rsidRDefault="00DF16F1" w:rsidP="00DF16F1"/>
    <w:p w:rsidR="005F38AB" w:rsidRDefault="005F38AB">
      <w:bookmarkStart w:id="0" w:name="_GoBack"/>
      <w:bookmarkEnd w:id="0"/>
    </w:p>
    <w:sectPr w:rsidR="005F38AB">
      <w:headerReference w:type="default" r:id="rId12"/>
      <w:pgSz w:w="16838" w:h="11906" w:orient="landscape"/>
      <w:pgMar w:top="1418" w:right="851" w:bottom="851" w:left="85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B10" w:rsidRDefault="00DF16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3</w:t>
    </w:r>
    <w:r>
      <w:rPr>
        <w:color w:val="000000"/>
      </w:rPr>
      <w:fldChar w:fldCharType="end"/>
    </w:r>
  </w:p>
  <w:p w:rsidR="00576B10" w:rsidRDefault="00DF16F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6F1"/>
    <w:rsid w:val="005F38AB"/>
    <w:rsid w:val="00D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375FFF-060F-4C53-9F55-A243C5A7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56-17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1474-2022-%D0%BF/print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474-2022-%D0%BF/print" TargetMode="External"/><Relationship Id="rId11" Type="http://schemas.openxmlformats.org/officeDocument/2006/relationships/hyperlink" Target="https://zakon.rada.gov.ua/laws/show/1474-2022-%D0%BF/print" TargetMode="External"/><Relationship Id="rId5" Type="http://schemas.openxmlformats.org/officeDocument/2006/relationships/hyperlink" Target="https://zakon.rada.gov.ua/laws/show/2456-17" TargetMode="External"/><Relationship Id="rId10" Type="http://schemas.openxmlformats.org/officeDocument/2006/relationships/hyperlink" Target="https://zakon.rada.gov.ua/laws/show/1474-2022-%D0%BF/print" TargetMode="External"/><Relationship Id="rId4" Type="http://schemas.openxmlformats.org/officeDocument/2006/relationships/hyperlink" Target="https://zakon.rada.gov.ua/laws/show/1474-2022-%D0%BF/print" TargetMode="External"/><Relationship Id="rId9" Type="http://schemas.openxmlformats.org/officeDocument/2006/relationships/hyperlink" Target="https://zakon.rada.gov.ua/laws/show/1474-2022-%D0%BF/prin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4500</Words>
  <Characters>2566</Characters>
  <Application>Microsoft Office Word</Application>
  <DocSecurity>0</DocSecurity>
  <Lines>21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Городній Валерій</dc:creator>
  <cp:keywords/>
  <dc:description/>
  <cp:lastModifiedBy>Городній Валерій</cp:lastModifiedBy>
  <cp:revision>1</cp:revision>
  <dcterms:created xsi:type="dcterms:W3CDTF">2025-04-11T06:41:00Z</dcterms:created>
  <dcterms:modified xsi:type="dcterms:W3CDTF">2025-04-11T06:41:00Z</dcterms:modified>
</cp:coreProperties>
</file>